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147F" w14:textId="35E6AC5A" w:rsidR="00624A67" w:rsidRDefault="00F27292" w:rsidP="002B4AD5">
      <w:pPr>
        <w:pStyle w:val="Ttulo"/>
        <w:spacing w:line="360" w:lineRule="auto"/>
        <w:jc w:val="center"/>
      </w:pPr>
      <w:r w:rsidRPr="00890D6A">
        <w:t>Retos</w:t>
      </w:r>
      <w:r w:rsidR="00624A67" w:rsidRPr="00890D6A">
        <w:t xml:space="preserve"> de la Unión Europea</w:t>
      </w:r>
      <w:r w:rsidR="00D979AF" w:rsidRPr="00890D6A">
        <w:t xml:space="preserve"> y </w:t>
      </w:r>
      <w:r w:rsidRPr="00890D6A">
        <w:t>su</w:t>
      </w:r>
      <w:r w:rsidR="00D979AF" w:rsidRPr="00890D6A">
        <w:t xml:space="preserve"> industria automovilística</w:t>
      </w:r>
      <w:r w:rsidRPr="00890D6A">
        <w:t>: el caso SEAT</w:t>
      </w:r>
    </w:p>
    <w:p w14:paraId="1D7D2AB4" w14:textId="65DC01AC" w:rsidR="008F586F" w:rsidRDefault="008F586F" w:rsidP="002B4AD5">
      <w:pPr>
        <w:spacing w:line="360" w:lineRule="auto"/>
      </w:pPr>
    </w:p>
    <w:p w14:paraId="44390BDC" w14:textId="0C977D3A" w:rsidR="008F586F" w:rsidRPr="008F586F" w:rsidRDefault="008F586F" w:rsidP="002B4AD5">
      <w:pPr>
        <w:pStyle w:val="Subttulo"/>
        <w:spacing w:line="360" w:lineRule="auto"/>
        <w:jc w:val="center"/>
      </w:pPr>
      <w:r>
        <w:t>Marta Muñoz García</w:t>
      </w:r>
    </w:p>
    <w:p w14:paraId="0A817640" w14:textId="1331D480" w:rsidR="008F586F" w:rsidRDefault="008F586F" w:rsidP="002B4AD5">
      <w:pPr>
        <w:spacing w:line="360" w:lineRule="auto"/>
      </w:pPr>
    </w:p>
    <w:p w14:paraId="0D69B315" w14:textId="5A265EA7" w:rsidR="008F586F" w:rsidRDefault="008F586F" w:rsidP="002B4AD5">
      <w:pPr>
        <w:spacing w:line="360" w:lineRule="auto"/>
      </w:pPr>
    </w:p>
    <w:p w14:paraId="0D0A0024" w14:textId="77777777" w:rsidR="00BA4BFB" w:rsidRDefault="00BA4BFB" w:rsidP="002B4AD5">
      <w:pPr>
        <w:spacing w:line="360" w:lineRule="auto"/>
      </w:pPr>
    </w:p>
    <w:p w14:paraId="42EF31AC" w14:textId="77777777" w:rsidR="00F9146E" w:rsidRPr="008F586F" w:rsidRDefault="00F9146E" w:rsidP="002B4AD5">
      <w:pPr>
        <w:spacing w:line="360" w:lineRule="auto"/>
        <w:jc w:val="both"/>
      </w:pPr>
    </w:p>
    <w:p w14:paraId="2D8EF136" w14:textId="3C869C95" w:rsidR="00890D6A" w:rsidRPr="00890D6A" w:rsidRDefault="008F586F" w:rsidP="002B4AD5">
      <w:pPr>
        <w:pStyle w:val="Ttulo1"/>
        <w:spacing w:line="360" w:lineRule="auto"/>
        <w:jc w:val="both"/>
      </w:pPr>
      <w:r>
        <w:t>Índice</w:t>
      </w:r>
    </w:p>
    <w:p w14:paraId="30D960BF" w14:textId="222A08F7" w:rsidR="008F586F" w:rsidRPr="006342E3" w:rsidRDefault="00295AEA" w:rsidP="002B4AD5">
      <w:pPr>
        <w:pStyle w:val="Prrafodelista"/>
        <w:numPr>
          <w:ilvl w:val="0"/>
          <w:numId w:val="2"/>
        </w:numPr>
        <w:spacing w:before="240" w:line="360" w:lineRule="auto"/>
        <w:jc w:val="both"/>
        <w:rPr>
          <w:sz w:val="24"/>
          <w:szCs w:val="24"/>
        </w:rPr>
      </w:pPr>
      <w:r w:rsidRPr="006342E3">
        <w:rPr>
          <w:sz w:val="24"/>
          <w:szCs w:val="24"/>
        </w:rPr>
        <w:t>Introducción</w:t>
      </w:r>
    </w:p>
    <w:p w14:paraId="470572A6" w14:textId="2CEC12DC" w:rsidR="005B6AEA" w:rsidRPr="006342E3" w:rsidRDefault="00295AEA" w:rsidP="002B4AD5">
      <w:pPr>
        <w:pStyle w:val="Prrafodelista"/>
        <w:numPr>
          <w:ilvl w:val="0"/>
          <w:numId w:val="2"/>
        </w:numPr>
        <w:spacing w:before="240" w:line="360" w:lineRule="auto"/>
        <w:jc w:val="both"/>
        <w:rPr>
          <w:sz w:val="24"/>
          <w:szCs w:val="24"/>
        </w:rPr>
      </w:pPr>
      <w:r w:rsidRPr="006342E3">
        <w:rPr>
          <w:sz w:val="24"/>
          <w:szCs w:val="24"/>
        </w:rPr>
        <w:t xml:space="preserve">Análisis </w:t>
      </w:r>
      <w:r w:rsidR="005B6AEA" w:rsidRPr="006342E3">
        <w:rPr>
          <w:sz w:val="24"/>
          <w:szCs w:val="24"/>
        </w:rPr>
        <w:t>de la</w:t>
      </w:r>
      <w:r w:rsidR="00091D9D">
        <w:rPr>
          <w:sz w:val="24"/>
          <w:szCs w:val="24"/>
        </w:rPr>
        <w:t xml:space="preserve"> actual</w:t>
      </w:r>
      <w:r w:rsidR="005B6AEA" w:rsidRPr="006342E3">
        <w:rPr>
          <w:sz w:val="24"/>
          <w:szCs w:val="24"/>
        </w:rPr>
        <w:t xml:space="preserve"> Unión Europea</w:t>
      </w:r>
      <w:r w:rsidRPr="006342E3">
        <w:rPr>
          <w:sz w:val="24"/>
          <w:szCs w:val="24"/>
        </w:rPr>
        <w:t xml:space="preserve"> y retos futuros</w:t>
      </w:r>
      <w:r w:rsidR="00EE33E9">
        <w:rPr>
          <w:sz w:val="24"/>
          <w:szCs w:val="24"/>
        </w:rPr>
        <w:t xml:space="preserve"> </w:t>
      </w:r>
    </w:p>
    <w:p w14:paraId="6C4DAC73" w14:textId="77777777" w:rsidR="00813A4E" w:rsidRPr="006342E3" w:rsidRDefault="00813A4E" w:rsidP="002B4AD5">
      <w:pPr>
        <w:pStyle w:val="Prrafodelista"/>
        <w:numPr>
          <w:ilvl w:val="0"/>
          <w:numId w:val="3"/>
        </w:numPr>
        <w:spacing w:before="240" w:line="360" w:lineRule="auto"/>
        <w:jc w:val="both"/>
        <w:rPr>
          <w:vanish/>
          <w:sz w:val="24"/>
          <w:szCs w:val="24"/>
        </w:rPr>
      </w:pPr>
    </w:p>
    <w:p w14:paraId="27130811" w14:textId="77777777" w:rsidR="00813A4E" w:rsidRPr="006342E3" w:rsidRDefault="00813A4E" w:rsidP="002B4AD5">
      <w:pPr>
        <w:pStyle w:val="Prrafodelista"/>
        <w:numPr>
          <w:ilvl w:val="0"/>
          <w:numId w:val="3"/>
        </w:numPr>
        <w:spacing w:before="240" w:line="360" w:lineRule="auto"/>
        <w:jc w:val="both"/>
        <w:rPr>
          <w:vanish/>
          <w:sz w:val="24"/>
          <w:szCs w:val="24"/>
        </w:rPr>
      </w:pPr>
    </w:p>
    <w:p w14:paraId="41446039" w14:textId="779C5012" w:rsidR="000879D1" w:rsidRPr="006342E3" w:rsidRDefault="006E536E" w:rsidP="002B4AD5">
      <w:pPr>
        <w:pStyle w:val="Prrafodelista"/>
        <w:numPr>
          <w:ilvl w:val="1"/>
          <w:numId w:val="3"/>
        </w:numPr>
        <w:spacing w:before="240" w:line="360" w:lineRule="auto"/>
        <w:jc w:val="both"/>
        <w:rPr>
          <w:sz w:val="24"/>
          <w:szCs w:val="24"/>
        </w:rPr>
      </w:pPr>
      <w:r>
        <w:rPr>
          <w:sz w:val="24"/>
          <w:szCs w:val="24"/>
        </w:rPr>
        <w:t>Reto demográfico</w:t>
      </w:r>
      <w:r w:rsidR="00705511">
        <w:rPr>
          <w:sz w:val="24"/>
          <w:szCs w:val="24"/>
        </w:rPr>
        <w:t xml:space="preserve"> </w:t>
      </w:r>
    </w:p>
    <w:p w14:paraId="248AA36D" w14:textId="42B8ADB0" w:rsidR="005B6AEA" w:rsidRPr="006342E3" w:rsidRDefault="00624A67" w:rsidP="002B4AD5">
      <w:pPr>
        <w:pStyle w:val="Prrafodelista"/>
        <w:numPr>
          <w:ilvl w:val="1"/>
          <w:numId w:val="3"/>
        </w:numPr>
        <w:spacing w:before="240" w:line="360" w:lineRule="auto"/>
        <w:jc w:val="both"/>
        <w:rPr>
          <w:sz w:val="24"/>
          <w:szCs w:val="24"/>
        </w:rPr>
      </w:pPr>
      <w:r w:rsidRPr="006342E3">
        <w:rPr>
          <w:sz w:val="24"/>
          <w:szCs w:val="24"/>
        </w:rPr>
        <w:t>Tecnología y empleo</w:t>
      </w:r>
      <w:r w:rsidR="00705511">
        <w:rPr>
          <w:sz w:val="24"/>
          <w:szCs w:val="24"/>
        </w:rPr>
        <w:t xml:space="preserve"> </w:t>
      </w:r>
    </w:p>
    <w:p w14:paraId="3EF0AC43" w14:textId="41EC0930" w:rsidR="005B6AEA" w:rsidRPr="006342E3" w:rsidRDefault="00624A67" w:rsidP="002B4AD5">
      <w:pPr>
        <w:pStyle w:val="Prrafodelista"/>
        <w:numPr>
          <w:ilvl w:val="1"/>
          <w:numId w:val="3"/>
        </w:numPr>
        <w:spacing w:before="240" w:line="360" w:lineRule="auto"/>
        <w:jc w:val="both"/>
        <w:rPr>
          <w:sz w:val="24"/>
          <w:szCs w:val="24"/>
        </w:rPr>
      </w:pPr>
      <w:r w:rsidRPr="006342E3">
        <w:rPr>
          <w:sz w:val="24"/>
          <w:szCs w:val="24"/>
        </w:rPr>
        <w:t>Sostenibilidad</w:t>
      </w:r>
      <w:r w:rsidR="00A063BE" w:rsidRPr="006342E3">
        <w:rPr>
          <w:sz w:val="24"/>
          <w:szCs w:val="24"/>
        </w:rPr>
        <w:t xml:space="preserve"> y Agenda 2030</w:t>
      </w:r>
      <w:r w:rsidR="00705511">
        <w:rPr>
          <w:sz w:val="24"/>
          <w:szCs w:val="24"/>
        </w:rPr>
        <w:t xml:space="preserve"> </w:t>
      </w:r>
    </w:p>
    <w:p w14:paraId="62FC122F" w14:textId="17293E85" w:rsidR="005B6AEA" w:rsidRPr="006342E3" w:rsidRDefault="006A2CE6" w:rsidP="002B4AD5">
      <w:pPr>
        <w:pStyle w:val="Prrafodelista"/>
        <w:numPr>
          <w:ilvl w:val="1"/>
          <w:numId w:val="3"/>
        </w:numPr>
        <w:spacing w:before="240" w:line="360" w:lineRule="auto"/>
        <w:jc w:val="both"/>
        <w:rPr>
          <w:sz w:val="24"/>
          <w:szCs w:val="24"/>
        </w:rPr>
      </w:pPr>
      <w:r>
        <w:rPr>
          <w:sz w:val="24"/>
          <w:szCs w:val="24"/>
        </w:rPr>
        <w:t>Política monetaria e inflación</w:t>
      </w:r>
      <w:r w:rsidR="00705511">
        <w:rPr>
          <w:sz w:val="24"/>
          <w:szCs w:val="24"/>
        </w:rPr>
        <w:t xml:space="preserve"> </w:t>
      </w:r>
    </w:p>
    <w:p w14:paraId="27E9B1FE" w14:textId="2450441E" w:rsidR="00624A67" w:rsidRPr="006342E3" w:rsidRDefault="006A2CE6" w:rsidP="002B4AD5">
      <w:pPr>
        <w:pStyle w:val="Prrafodelista"/>
        <w:numPr>
          <w:ilvl w:val="1"/>
          <w:numId w:val="3"/>
        </w:numPr>
        <w:spacing w:before="240" w:line="360" w:lineRule="auto"/>
        <w:jc w:val="both"/>
        <w:rPr>
          <w:sz w:val="24"/>
          <w:szCs w:val="24"/>
        </w:rPr>
      </w:pPr>
      <w:r>
        <w:rPr>
          <w:sz w:val="24"/>
          <w:szCs w:val="24"/>
        </w:rPr>
        <w:t>Industria</w:t>
      </w:r>
      <w:r w:rsidR="00705511">
        <w:rPr>
          <w:sz w:val="24"/>
          <w:szCs w:val="24"/>
        </w:rPr>
        <w:t xml:space="preserve"> </w:t>
      </w:r>
    </w:p>
    <w:p w14:paraId="710B7BAD" w14:textId="1ABF3A73" w:rsidR="00295AEA" w:rsidRDefault="006A2CE6" w:rsidP="002B4AD5">
      <w:pPr>
        <w:pStyle w:val="Prrafodelista"/>
        <w:numPr>
          <w:ilvl w:val="2"/>
          <w:numId w:val="3"/>
        </w:numPr>
        <w:spacing w:before="240" w:line="360" w:lineRule="auto"/>
        <w:jc w:val="both"/>
        <w:rPr>
          <w:sz w:val="24"/>
          <w:szCs w:val="24"/>
        </w:rPr>
      </w:pPr>
      <w:r>
        <w:rPr>
          <w:sz w:val="24"/>
          <w:szCs w:val="24"/>
        </w:rPr>
        <w:t>Cortes en la cadena de suministro</w:t>
      </w:r>
    </w:p>
    <w:p w14:paraId="353206B9" w14:textId="23CFA2B8" w:rsidR="006A2CE6" w:rsidRPr="006342E3" w:rsidRDefault="006A2CE6" w:rsidP="002B4AD5">
      <w:pPr>
        <w:pStyle w:val="Prrafodelista"/>
        <w:numPr>
          <w:ilvl w:val="2"/>
          <w:numId w:val="3"/>
        </w:numPr>
        <w:spacing w:before="240" w:line="360" w:lineRule="auto"/>
        <w:jc w:val="both"/>
        <w:rPr>
          <w:sz w:val="24"/>
          <w:szCs w:val="24"/>
        </w:rPr>
      </w:pPr>
      <w:r>
        <w:rPr>
          <w:sz w:val="24"/>
          <w:szCs w:val="24"/>
        </w:rPr>
        <w:t>Escasez de materias primas y crisis energética</w:t>
      </w:r>
    </w:p>
    <w:p w14:paraId="251CD389" w14:textId="3651F789" w:rsidR="005B6AEA" w:rsidRPr="006342E3" w:rsidRDefault="005B6AEA" w:rsidP="002B4AD5">
      <w:pPr>
        <w:pStyle w:val="Prrafodelista"/>
        <w:numPr>
          <w:ilvl w:val="0"/>
          <w:numId w:val="2"/>
        </w:numPr>
        <w:spacing w:before="240" w:line="360" w:lineRule="auto"/>
        <w:jc w:val="both"/>
        <w:rPr>
          <w:sz w:val="24"/>
          <w:szCs w:val="24"/>
        </w:rPr>
      </w:pPr>
      <w:r w:rsidRPr="006342E3">
        <w:rPr>
          <w:sz w:val="24"/>
          <w:szCs w:val="24"/>
        </w:rPr>
        <w:t xml:space="preserve">Perspectiva de la </w:t>
      </w:r>
      <w:r w:rsidR="00A063BE" w:rsidRPr="006342E3">
        <w:rPr>
          <w:sz w:val="24"/>
          <w:szCs w:val="24"/>
        </w:rPr>
        <w:t>Industria</w:t>
      </w:r>
      <w:r w:rsidRPr="006342E3">
        <w:rPr>
          <w:sz w:val="24"/>
          <w:szCs w:val="24"/>
        </w:rPr>
        <w:t xml:space="preserve"> automovilística en Europa</w:t>
      </w:r>
      <w:r w:rsidR="00705511">
        <w:rPr>
          <w:sz w:val="24"/>
          <w:szCs w:val="24"/>
        </w:rPr>
        <w:t xml:space="preserve"> </w:t>
      </w:r>
    </w:p>
    <w:p w14:paraId="3BEB8CCE" w14:textId="3F422B16" w:rsidR="000879D1" w:rsidRPr="00B234D8" w:rsidRDefault="005B6AEA" w:rsidP="002B4AD5">
      <w:pPr>
        <w:pStyle w:val="Prrafodelista"/>
        <w:numPr>
          <w:ilvl w:val="1"/>
          <w:numId w:val="2"/>
        </w:numPr>
        <w:spacing w:before="240" w:line="360" w:lineRule="auto"/>
        <w:jc w:val="both"/>
        <w:rPr>
          <w:sz w:val="24"/>
          <w:szCs w:val="24"/>
        </w:rPr>
      </w:pPr>
      <w:r w:rsidRPr="00B234D8">
        <w:rPr>
          <w:sz w:val="24"/>
          <w:szCs w:val="24"/>
        </w:rPr>
        <w:t>Semiconductores y el coche eléctrico</w:t>
      </w:r>
    </w:p>
    <w:p w14:paraId="643A0159" w14:textId="1E2650A8" w:rsidR="000879D1" w:rsidRPr="006342E3" w:rsidRDefault="005B6AEA" w:rsidP="002B4AD5">
      <w:pPr>
        <w:pStyle w:val="Prrafodelista"/>
        <w:numPr>
          <w:ilvl w:val="1"/>
          <w:numId w:val="2"/>
        </w:numPr>
        <w:spacing w:before="240" w:line="360" w:lineRule="auto"/>
        <w:jc w:val="both"/>
        <w:rPr>
          <w:sz w:val="24"/>
          <w:szCs w:val="24"/>
        </w:rPr>
      </w:pPr>
      <w:r w:rsidRPr="006342E3">
        <w:rPr>
          <w:sz w:val="24"/>
          <w:szCs w:val="24"/>
        </w:rPr>
        <w:t>SEAT</w:t>
      </w:r>
      <w:r w:rsidR="00B234D8">
        <w:rPr>
          <w:sz w:val="24"/>
          <w:szCs w:val="24"/>
        </w:rPr>
        <w:t xml:space="preserve"> y la electrificación de sus coches</w:t>
      </w:r>
    </w:p>
    <w:p w14:paraId="2A966F70" w14:textId="77777777" w:rsidR="000879D1" w:rsidRPr="006342E3" w:rsidRDefault="005B6AEA" w:rsidP="002B4AD5">
      <w:pPr>
        <w:pStyle w:val="Prrafodelista"/>
        <w:numPr>
          <w:ilvl w:val="2"/>
          <w:numId w:val="2"/>
        </w:numPr>
        <w:spacing w:before="240" w:line="360" w:lineRule="auto"/>
        <w:jc w:val="both"/>
        <w:rPr>
          <w:sz w:val="24"/>
          <w:szCs w:val="24"/>
        </w:rPr>
      </w:pPr>
      <w:r w:rsidRPr="006342E3">
        <w:rPr>
          <w:sz w:val="24"/>
          <w:szCs w:val="24"/>
        </w:rPr>
        <w:t>CUPRA y la fábrica de baterías</w:t>
      </w:r>
    </w:p>
    <w:p w14:paraId="211EEADC" w14:textId="77777777" w:rsidR="00B234D8" w:rsidRPr="00BA4BFB" w:rsidRDefault="00B234D8" w:rsidP="002B4AD5">
      <w:pPr>
        <w:pStyle w:val="Prrafodelista"/>
        <w:numPr>
          <w:ilvl w:val="2"/>
          <w:numId w:val="2"/>
        </w:numPr>
        <w:spacing w:before="240" w:line="360" w:lineRule="auto"/>
        <w:jc w:val="both"/>
        <w:rPr>
          <w:sz w:val="24"/>
          <w:szCs w:val="24"/>
        </w:rPr>
      </w:pPr>
      <w:r w:rsidRPr="00BA4BFB">
        <w:rPr>
          <w:sz w:val="24"/>
          <w:szCs w:val="24"/>
        </w:rPr>
        <w:t>Ventas de automóviles SEAT eléctricos y previsión futura</w:t>
      </w:r>
    </w:p>
    <w:p w14:paraId="3CD4F65F" w14:textId="019204EF" w:rsidR="005B6AEA" w:rsidRPr="006342E3" w:rsidRDefault="00295AEA" w:rsidP="002B4AD5">
      <w:pPr>
        <w:pStyle w:val="Prrafodelista"/>
        <w:numPr>
          <w:ilvl w:val="0"/>
          <w:numId w:val="2"/>
        </w:numPr>
        <w:spacing w:before="240" w:line="360" w:lineRule="auto"/>
        <w:jc w:val="both"/>
        <w:rPr>
          <w:sz w:val="24"/>
          <w:szCs w:val="24"/>
        </w:rPr>
      </w:pPr>
      <w:r w:rsidRPr="006342E3">
        <w:rPr>
          <w:sz w:val="24"/>
          <w:szCs w:val="24"/>
        </w:rPr>
        <w:t>Conclusión</w:t>
      </w:r>
      <w:r w:rsidR="002B4AD5">
        <w:rPr>
          <w:sz w:val="24"/>
          <w:szCs w:val="24"/>
        </w:rPr>
        <w:t xml:space="preserve"> y otras consideraciones</w:t>
      </w:r>
      <w:r w:rsidR="00705511">
        <w:rPr>
          <w:sz w:val="24"/>
          <w:szCs w:val="24"/>
        </w:rPr>
        <w:t xml:space="preserve"> </w:t>
      </w:r>
    </w:p>
    <w:p w14:paraId="7866BDB9" w14:textId="3AED2C24" w:rsidR="00295AEA" w:rsidRDefault="00295AEA" w:rsidP="002B4AD5">
      <w:pPr>
        <w:pStyle w:val="Prrafodelista"/>
        <w:numPr>
          <w:ilvl w:val="0"/>
          <w:numId w:val="2"/>
        </w:numPr>
        <w:spacing w:before="240" w:line="360" w:lineRule="auto"/>
        <w:jc w:val="both"/>
        <w:rPr>
          <w:sz w:val="24"/>
          <w:szCs w:val="24"/>
        </w:rPr>
      </w:pPr>
      <w:r w:rsidRPr="006342E3">
        <w:rPr>
          <w:sz w:val="24"/>
          <w:szCs w:val="24"/>
        </w:rPr>
        <w:t>Bibliografía</w:t>
      </w:r>
    </w:p>
    <w:p w14:paraId="4393CC52" w14:textId="77777777" w:rsidR="00BA4BFB" w:rsidRPr="00BA4BFB" w:rsidRDefault="00BA4BFB" w:rsidP="002B4AD5">
      <w:pPr>
        <w:spacing w:before="240" w:line="360" w:lineRule="auto"/>
        <w:jc w:val="both"/>
        <w:rPr>
          <w:sz w:val="24"/>
          <w:szCs w:val="24"/>
        </w:rPr>
      </w:pPr>
    </w:p>
    <w:p w14:paraId="558A4A60" w14:textId="1E9A0CA6" w:rsidR="00890D6A" w:rsidRPr="00ED3FB5" w:rsidRDefault="00890D6A" w:rsidP="002B4AD5">
      <w:pPr>
        <w:pStyle w:val="Prrafodelista"/>
        <w:numPr>
          <w:ilvl w:val="0"/>
          <w:numId w:val="7"/>
        </w:numPr>
        <w:spacing w:line="360" w:lineRule="auto"/>
        <w:jc w:val="both"/>
        <w:rPr>
          <w:sz w:val="24"/>
          <w:szCs w:val="24"/>
        </w:rPr>
      </w:pPr>
      <w:r w:rsidRPr="00ED3FB5">
        <w:rPr>
          <w:sz w:val="24"/>
          <w:szCs w:val="24"/>
        </w:rPr>
        <w:lastRenderedPageBreak/>
        <w:t>Introducción</w:t>
      </w:r>
    </w:p>
    <w:p w14:paraId="23575707" w14:textId="61187432" w:rsidR="006C1385" w:rsidRPr="00ED3FB5" w:rsidRDefault="00890D6A" w:rsidP="002B4AD5">
      <w:pPr>
        <w:spacing w:line="360" w:lineRule="auto"/>
        <w:jc w:val="both"/>
        <w:rPr>
          <w:sz w:val="24"/>
          <w:szCs w:val="24"/>
        </w:rPr>
      </w:pPr>
      <w:r w:rsidRPr="00ED3FB5">
        <w:rPr>
          <w:sz w:val="24"/>
          <w:szCs w:val="24"/>
        </w:rPr>
        <w:t xml:space="preserve">El proyecto </w:t>
      </w:r>
      <w:r w:rsidR="002B4AD5">
        <w:rPr>
          <w:sz w:val="24"/>
          <w:szCs w:val="24"/>
        </w:rPr>
        <w:t xml:space="preserve">y posterior </w:t>
      </w:r>
      <w:r w:rsidRPr="00ED3FB5">
        <w:rPr>
          <w:sz w:val="24"/>
          <w:szCs w:val="24"/>
        </w:rPr>
        <w:t xml:space="preserve">tesina </w:t>
      </w:r>
      <w:r w:rsidR="002B4AD5">
        <w:rPr>
          <w:sz w:val="24"/>
          <w:szCs w:val="24"/>
        </w:rPr>
        <w:t>aquí presentado</w:t>
      </w:r>
      <w:r w:rsidRPr="00ED3FB5">
        <w:rPr>
          <w:sz w:val="24"/>
          <w:szCs w:val="24"/>
        </w:rPr>
        <w:t xml:space="preserve"> consistirá en la preparación y estructuración de un</w:t>
      </w:r>
      <w:r w:rsidR="000E5CBD" w:rsidRPr="00ED3FB5">
        <w:rPr>
          <w:sz w:val="24"/>
          <w:szCs w:val="24"/>
        </w:rPr>
        <w:t xml:space="preserve"> </w:t>
      </w:r>
      <w:r w:rsidRPr="00ED3FB5">
        <w:rPr>
          <w:sz w:val="24"/>
          <w:szCs w:val="24"/>
        </w:rPr>
        <w:t xml:space="preserve">trabajo de investigación académica </w:t>
      </w:r>
      <w:r w:rsidR="006C1385" w:rsidRPr="00ED3FB5">
        <w:rPr>
          <w:sz w:val="24"/>
          <w:szCs w:val="24"/>
        </w:rPr>
        <w:t>situando inicialmente el</w:t>
      </w:r>
      <w:r w:rsidR="0092119B" w:rsidRPr="00ED3FB5">
        <w:rPr>
          <w:sz w:val="24"/>
          <w:szCs w:val="24"/>
        </w:rPr>
        <w:t xml:space="preserve"> contexto actual</w:t>
      </w:r>
      <w:r w:rsidR="006C1385" w:rsidRPr="00ED3FB5">
        <w:rPr>
          <w:sz w:val="24"/>
          <w:szCs w:val="24"/>
        </w:rPr>
        <w:t xml:space="preserve"> de la Unión Europea</w:t>
      </w:r>
      <w:r w:rsidRPr="00ED3FB5">
        <w:rPr>
          <w:sz w:val="24"/>
          <w:szCs w:val="24"/>
        </w:rPr>
        <w:t xml:space="preserve"> </w:t>
      </w:r>
      <w:r w:rsidR="006C1385" w:rsidRPr="00ED3FB5">
        <w:rPr>
          <w:sz w:val="24"/>
          <w:szCs w:val="24"/>
        </w:rPr>
        <w:t xml:space="preserve">en varios aspectos que influyen sobre la industria del automóvil </w:t>
      </w:r>
      <w:r w:rsidRPr="00ED3FB5">
        <w:rPr>
          <w:sz w:val="24"/>
          <w:szCs w:val="24"/>
        </w:rPr>
        <w:t xml:space="preserve">y, </w:t>
      </w:r>
      <w:r w:rsidR="006C1385" w:rsidRPr="00ED3FB5">
        <w:rPr>
          <w:sz w:val="24"/>
          <w:szCs w:val="24"/>
        </w:rPr>
        <w:t>posteriormente</w:t>
      </w:r>
      <w:r w:rsidRPr="00ED3FB5">
        <w:rPr>
          <w:sz w:val="24"/>
          <w:szCs w:val="24"/>
        </w:rPr>
        <w:t xml:space="preserve">, </w:t>
      </w:r>
      <w:r w:rsidR="006C1385" w:rsidRPr="00ED3FB5">
        <w:rPr>
          <w:sz w:val="24"/>
          <w:szCs w:val="24"/>
        </w:rPr>
        <w:t>analizaremos esa influencia sobre una de las marcas</w:t>
      </w:r>
      <w:r w:rsidRPr="00ED3FB5">
        <w:rPr>
          <w:sz w:val="24"/>
          <w:szCs w:val="24"/>
        </w:rPr>
        <w:t xml:space="preserve"> del Grupo Volkswagen, SEAT, que servirá de ejemplo para todos aquellos retos a los que se enfrenta la empres</w:t>
      </w:r>
      <w:r w:rsidR="0092119B" w:rsidRPr="00ED3FB5">
        <w:rPr>
          <w:sz w:val="24"/>
          <w:szCs w:val="24"/>
        </w:rPr>
        <w:t>a, pero que es un reflejo del sector</w:t>
      </w:r>
      <w:r w:rsidR="00A01E71">
        <w:rPr>
          <w:sz w:val="24"/>
          <w:szCs w:val="24"/>
        </w:rPr>
        <w:t xml:space="preserve"> </w:t>
      </w:r>
      <w:r w:rsidRPr="00ED3FB5">
        <w:rPr>
          <w:sz w:val="24"/>
          <w:szCs w:val="24"/>
        </w:rPr>
        <w:t xml:space="preserve">en </w:t>
      </w:r>
      <w:r w:rsidR="006C1385" w:rsidRPr="00ED3FB5">
        <w:rPr>
          <w:sz w:val="24"/>
          <w:szCs w:val="24"/>
        </w:rPr>
        <w:t>Europa</w:t>
      </w:r>
      <w:r w:rsidRPr="00ED3FB5">
        <w:rPr>
          <w:sz w:val="24"/>
          <w:szCs w:val="24"/>
        </w:rPr>
        <w:t>.</w:t>
      </w:r>
      <w:r w:rsidR="006C1385" w:rsidRPr="00ED3FB5">
        <w:rPr>
          <w:sz w:val="24"/>
          <w:szCs w:val="24"/>
        </w:rPr>
        <w:t xml:space="preserve"> </w:t>
      </w:r>
    </w:p>
    <w:p w14:paraId="601D4F43" w14:textId="7671EF27" w:rsidR="000E5CBD" w:rsidRPr="00ED3FB5" w:rsidRDefault="006C1385" w:rsidP="002B4AD5">
      <w:pPr>
        <w:spacing w:line="360" w:lineRule="auto"/>
        <w:jc w:val="both"/>
        <w:rPr>
          <w:sz w:val="24"/>
          <w:szCs w:val="24"/>
        </w:rPr>
      </w:pPr>
      <w:r w:rsidRPr="00ED3FB5">
        <w:rPr>
          <w:sz w:val="24"/>
          <w:szCs w:val="24"/>
        </w:rPr>
        <w:t>Una vez analizada en detalle la situación actual de la industria y los cambios recientes en la marca, veremos a qué retos se enfrenta y qué soluciones se presentan en el corto y largo plazo, y las posibilidades de realizar un pronóstico a medio plazo.</w:t>
      </w:r>
    </w:p>
    <w:p w14:paraId="0108DD9B" w14:textId="0197EE30" w:rsidR="00B26A47" w:rsidRPr="00A01E71" w:rsidRDefault="006C1385" w:rsidP="002B4AD5">
      <w:pPr>
        <w:spacing w:line="360" w:lineRule="auto"/>
        <w:jc w:val="both"/>
        <w:rPr>
          <w:sz w:val="24"/>
          <w:szCs w:val="24"/>
        </w:rPr>
      </w:pPr>
      <w:r w:rsidRPr="00ED3FB5">
        <w:rPr>
          <w:sz w:val="24"/>
          <w:szCs w:val="24"/>
        </w:rPr>
        <w:t xml:space="preserve">En la primera parte de este trabajo, se ha recurrido </w:t>
      </w:r>
      <w:r w:rsidR="00B26A47" w:rsidRPr="00ED3FB5">
        <w:rPr>
          <w:sz w:val="24"/>
          <w:szCs w:val="24"/>
        </w:rPr>
        <w:t xml:space="preserve">principalmente </w:t>
      </w:r>
      <w:r w:rsidRPr="00ED3FB5">
        <w:rPr>
          <w:sz w:val="24"/>
          <w:szCs w:val="24"/>
        </w:rPr>
        <w:t xml:space="preserve">a las obras </w:t>
      </w:r>
      <w:r w:rsidR="00B26A47" w:rsidRPr="00ED3FB5">
        <w:rPr>
          <w:sz w:val="24"/>
          <w:szCs w:val="24"/>
        </w:rPr>
        <w:t xml:space="preserve">de Carmen Galán Fernández, José Ángel Martín </w:t>
      </w:r>
      <w:proofErr w:type="spellStart"/>
      <w:r w:rsidR="00B26A47" w:rsidRPr="00ED3FB5">
        <w:rPr>
          <w:sz w:val="24"/>
          <w:szCs w:val="24"/>
        </w:rPr>
        <w:t>Martín</w:t>
      </w:r>
      <w:proofErr w:type="spellEnd"/>
      <w:r w:rsidR="00B26A47" w:rsidRPr="00ED3FB5">
        <w:rPr>
          <w:sz w:val="24"/>
          <w:szCs w:val="24"/>
        </w:rPr>
        <w:t xml:space="preserve"> y Miguel Ángel </w:t>
      </w:r>
      <w:proofErr w:type="spellStart"/>
      <w:r w:rsidR="00B26A47" w:rsidRPr="00ED3FB5">
        <w:rPr>
          <w:sz w:val="24"/>
          <w:szCs w:val="24"/>
        </w:rPr>
        <w:t>Torremocha</w:t>
      </w:r>
      <w:proofErr w:type="spellEnd"/>
      <w:r w:rsidR="00B26A47" w:rsidRPr="00ED3FB5">
        <w:rPr>
          <w:sz w:val="24"/>
          <w:szCs w:val="24"/>
        </w:rPr>
        <w:t xml:space="preserve"> López, “Hacia la Unión Europea” y “Economía de la Unión Europea” de </w:t>
      </w:r>
      <w:proofErr w:type="spellStart"/>
      <w:r w:rsidR="00B26A47" w:rsidRPr="00ED3FB5">
        <w:rPr>
          <w:sz w:val="24"/>
          <w:szCs w:val="24"/>
        </w:rPr>
        <w:t>Theo</w:t>
      </w:r>
      <w:proofErr w:type="spellEnd"/>
      <w:r w:rsidR="00B26A47" w:rsidRPr="00ED3FB5">
        <w:rPr>
          <w:sz w:val="24"/>
          <w:szCs w:val="24"/>
        </w:rPr>
        <w:t xml:space="preserve"> </w:t>
      </w:r>
      <w:proofErr w:type="spellStart"/>
      <w:r w:rsidR="00B26A47" w:rsidRPr="00ED3FB5">
        <w:rPr>
          <w:sz w:val="24"/>
          <w:szCs w:val="24"/>
        </w:rPr>
        <w:t>Hitris</w:t>
      </w:r>
      <w:proofErr w:type="spellEnd"/>
      <w:r w:rsidR="00B26A47" w:rsidRPr="00ED3FB5">
        <w:rPr>
          <w:sz w:val="24"/>
          <w:szCs w:val="24"/>
        </w:rPr>
        <w:t xml:space="preserve"> y José Vallés. En lo que respecta al </w:t>
      </w:r>
      <w:r w:rsidR="007024D7" w:rsidRPr="00ED3FB5">
        <w:rPr>
          <w:sz w:val="24"/>
          <w:szCs w:val="24"/>
        </w:rPr>
        <w:t xml:space="preserve">sector del automóvil y al </w:t>
      </w:r>
      <w:r w:rsidR="00B26A47" w:rsidRPr="00ED3FB5">
        <w:rPr>
          <w:sz w:val="24"/>
          <w:szCs w:val="24"/>
        </w:rPr>
        <w:t>Grupo Volkswagen</w:t>
      </w:r>
      <w:r w:rsidR="007024D7" w:rsidRPr="00ED3FB5">
        <w:rPr>
          <w:sz w:val="24"/>
          <w:szCs w:val="24"/>
        </w:rPr>
        <w:t>, me he basado en las obras de</w:t>
      </w:r>
      <w:r w:rsidR="007024D7" w:rsidRPr="00A01E71">
        <w:rPr>
          <w:sz w:val="24"/>
          <w:szCs w:val="24"/>
        </w:rPr>
        <w:t xml:space="preserve"> Daniel </w:t>
      </w:r>
      <w:proofErr w:type="spellStart"/>
      <w:r w:rsidR="007024D7" w:rsidRPr="00A01E71">
        <w:rPr>
          <w:sz w:val="24"/>
          <w:szCs w:val="24"/>
        </w:rPr>
        <w:t>Sperling</w:t>
      </w:r>
      <w:proofErr w:type="spellEnd"/>
      <w:r w:rsidR="007024D7" w:rsidRPr="00A01E71">
        <w:rPr>
          <w:sz w:val="24"/>
          <w:szCs w:val="24"/>
        </w:rPr>
        <w:t xml:space="preserve"> y Deborah Gordon “</w:t>
      </w:r>
      <w:proofErr w:type="spellStart"/>
      <w:r w:rsidR="007024D7" w:rsidRPr="00A01E71">
        <w:rPr>
          <w:sz w:val="24"/>
          <w:szCs w:val="24"/>
        </w:rPr>
        <w:t>Two</w:t>
      </w:r>
      <w:proofErr w:type="spellEnd"/>
      <w:r w:rsidR="007024D7" w:rsidRPr="00A01E71">
        <w:rPr>
          <w:sz w:val="24"/>
          <w:szCs w:val="24"/>
        </w:rPr>
        <w:t xml:space="preserve"> </w:t>
      </w:r>
      <w:proofErr w:type="spellStart"/>
      <w:r w:rsidR="007024D7" w:rsidRPr="00A01E71">
        <w:rPr>
          <w:sz w:val="24"/>
          <w:szCs w:val="24"/>
        </w:rPr>
        <w:t>billion</w:t>
      </w:r>
      <w:proofErr w:type="spellEnd"/>
      <w:r w:rsidR="007024D7" w:rsidRPr="00A01E71">
        <w:rPr>
          <w:sz w:val="24"/>
          <w:szCs w:val="24"/>
        </w:rPr>
        <w:t xml:space="preserve"> cars: </w:t>
      </w:r>
      <w:proofErr w:type="spellStart"/>
      <w:r w:rsidR="007024D7" w:rsidRPr="00A01E71">
        <w:rPr>
          <w:sz w:val="24"/>
          <w:szCs w:val="24"/>
        </w:rPr>
        <w:t>driving</w:t>
      </w:r>
      <w:proofErr w:type="spellEnd"/>
      <w:r w:rsidR="007024D7" w:rsidRPr="00A01E71">
        <w:rPr>
          <w:sz w:val="24"/>
          <w:szCs w:val="24"/>
        </w:rPr>
        <w:t xml:space="preserve"> </w:t>
      </w:r>
      <w:proofErr w:type="spellStart"/>
      <w:r w:rsidR="007024D7" w:rsidRPr="00A01E71">
        <w:rPr>
          <w:sz w:val="24"/>
          <w:szCs w:val="24"/>
        </w:rPr>
        <w:t>toward</w:t>
      </w:r>
      <w:proofErr w:type="spellEnd"/>
      <w:r w:rsidR="007024D7" w:rsidRPr="00A01E71">
        <w:rPr>
          <w:sz w:val="24"/>
          <w:szCs w:val="24"/>
        </w:rPr>
        <w:t xml:space="preserve"> </w:t>
      </w:r>
      <w:proofErr w:type="spellStart"/>
      <w:r w:rsidR="007024D7" w:rsidRPr="00A01E71">
        <w:rPr>
          <w:sz w:val="24"/>
          <w:szCs w:val="24"/>
        </w:rPr>
        <w:t>sustainability</w:t>
      </w:r>
      <w:proofErr w:type="spellEnd"/>
      <w:r w:rsidR="007024D7" w:rsidRPr="00A01E71">
        <w:rPr>
          <w:sz w:val="24"/>
          <w:szCs w:val="24"/>
        </w:rPr>
        <w:t>” y “</w:t>
      </w:r>
      <w:proofErr w:type="spellStart"/>
      <w:r w:rsidR="007024D7" w:rsidRPr="00A01E71">
        <w:rPr>
          <w:sz w:val="24"/>
          <w:szCs w:val="24"/>
        </w:rPr>
        <w:t>Elektromobilität</w:t>
      </w:r>
      <w:proofErr w:type="spellEnd"/>
      <w:r w:rsidR="007024D7" w:rsidRPr="00A01E71">
        <w:rPr>
          <w:sz w:val="24"/>
          <w:szCs w:val="24"/>
        </w:rPr>
        <w:t xml:space="preserve"> – </w:t>
      </w:r>
      <w:proofErr w:type="spellStart"/>
      <w:r w:rsidR="007024D7" w:rsidRPr="00A01E71">
        <w:rPr>
          <w:sz w:val="24"/>
          <w:szCs w:val="24"/>
        </w:rPr>
        <w:t>Grundlagen</w:t>
      </w:r>
      <w:proofErr w:type="spellEnd"/>
      <w:r w:rsidR="007024D7" w:rsidRPr="00A01E71">
        <w:rPr>
          <w:sz w:val="24"/>
          <w:szCs w:val="24"/>
        </w:rPr>
        <w:t xml:space="preserve"> </w:t>
      </w:r>
      <w:proofErr w:type="spellStart"/>
      <w:r w:rsidR="007024D7" w:rsidRPr="00A01E71">
        <w:rPr>
          <w:sz w:val="24"/>
          <w:szCs w:val="24"/>
        </w:rPr>
        <w:t>einer</w:t>
      </w:r>
      <w:proofErr w:type="spellEnd"/>
      <w:r w:rsidR="007024D7" w:rsidRPr="00A01E71">
        <w:rPr>
          <w:sz w:val="24"/>
          <w:szCs w:val="24"/>
        </w:rPr>
        <w:t xml:space="preserve"> </w:t>
      </w:r>
      <w:proofErr w:type="spellStart"/>
      <w:r w:rsidR="007024D7" w:rsidRPr="00A01E71">
        <w:rPr>
          <w:sz w:val="24"/>
          <w:szCs w:val="24"/>
        </w:rPr>
        <w:t>Zukunftstechnologie</w:t>
      </w:r>
      <w:proofErr w:type="spellEnd"/>
      <w:r w:rsidR="007024D7" w:rsidRPr="00A01E71">
        <w:rPr>
          <w:sz w:val="24"/>
          <w:szCs w:val="24"/>
        </w:rPr>
        <w:t xml:space="preserve">”, de </w:t>
      </w:r>
      <w:proofErr w:type="spellStart"/>
      <w:r w:rsidR="007024D7" w:rsidRPr="00A01E71">
        <w:rPr>
          <w:sz w:val="24"/>
          <w:szCs w:val="24"/>
        </w:rPr>
        <w:t>Achim</w:t>
      </w:r>
      <w:proofErr w:type="spellEnd"/>
      <w:r w:rsidR="007024D7" w:rsidRPr="00A01E71">
        <w:rPr>
          <w:sz w:val="24"/>
          <w:szCs w:val="24"/>
        </w:rPr>
        <w:t xml:space="preserve"> </w:t>
      </w:r>
      <w:proofErr w:type="spellStart"/>
      <w:r w:rsidR="007024D7" w:rsidRPr="00A01E71">
        <w:rPr>
          <w:sz w:val="24"/>
          <w:szCs w:val="24"/>
        </w:rPr>
        <w:t>Kampker</w:t>
      </w:r>
      <w:proofErr w:type="spellEnd"/>
      <w:r w:rsidR="007024D7" w:rsidRPr="00A01E71">
        <w:rPr>
          <w:sz w:val="24"/>
          <w:szCs w:val="24"/>
        </w:rPr>
        <w:t xml:space="preserve"> y </w:t>
      </w:r>
      <w:proofErr w:type="spellStart"/>
      <w:r w:rsidR="007024D7" w:rsidRPr="00A01E71">
        <w:rPr>
          <w:sz w:val="24"/>
          <w:szCs w:val="24"/>
        </w:rPr>
        <w:t>Dirk</w:t>
      </w:r>
      <w:proofErr w:type="spellEnd"/>
      <w:r w:rsidR="007024D7" w:rsidRPr="00A01E71">
        <w:rPr>
          <w:sz w:val="24"/>
          <w:szCs w:val="24"/>
        </w:rPr>
        <w:t xml:space="preserve"> </w:t>
      </w:r>
      <w:proofErr w:type="spellStart"/>
      <w:r w:rsidR="007024D7" w:rsidRPr="00A01E71">
        <w:rPr>
          <w:sz w:val="24"/>
          <w:szCs w:val="24"/>
        </w:rPr>
        <w:t>Vallée</w:t>
      </w:r>
      <w:proofErr w:type="spellEnd"/>
      <w:r w:rsidR="007024D7" w:rsidRPr="00A01E71">
        <w:rPr>
          <w:sz w:val="24"/>
          <w:szCs w:val="24"/>
        </w:rPr>
        <w:t>.</w:t>
      </w:r>
    </w:p>
    <w:p w14:paraId="3C995884" w14:textId="0B1EBF8B" w:rsidR="007024D7" w:rsidRPr="00ED3FB5" w:rsidRDefault="007024D7" w:rsidP="002B4AD5">
      <w:pPr>
        <w:spacing w:line="360" w:lineRule="auto"/>
        <w:jc w:val="both"/>
        <w:rPr>
          <w:sz w:val="24"/>
          <w:szCs w:val="24"/>
        </w:rPr>
      </w:pPr>
      <w:r w:rsidRPr="00A01E71">
        <w:rPr>
          <w:sz w:val="24"/>
          <w:szCs w:val="24"/>
        </w:rPr>
        <w:t>La conjunción de las obras citadas, y otras no citadas anteriormente, con el uso de bases de datos, como SABI</w:t>
      </w:r>
      <w:r w:rsidR="00ED3FB5" w:rsidRPr="00A01E71">
        <w:rPr>
          <w:sz w:val="24"/>
          <w:szCs w:val="24"/>
        </w:rPr>
        <w:t xml:space="preserve"> y en el CRAI de la UB</w:t>
      </w:r>
      <w:r w:rsidRPr="00A01E71">
        <w:rPr>
          <w:sz w:val="24"/>
          <w:szCs w:val="24"/>
        </w:rPr>
        <w:t xml:space="preserve">, y </w:t>
      </w:r>
      <w:r w:rsidR="006A2CE6">
        <w:rPr>
          <w:sz w:val="24"/>
          <w:szCs w:val="24"/>
        </w:rPr>
        <w:t xml:space="preserve">el </w:t>
      </w:r>
      <w:r w:rsidRPr="00A01E71">
        <w:rPr>
          <w:sz w:val="24"/>
          <w:szCs w:val="24"/>
        </w:rPr>
        <w:t>análisis propio</w:t>
      </w:r>
      <w:r w:rsidR="006A2CE6">
        <w:rPr>
          <w:sz w:val="24"/>
          <w:szCs w:val="24"/>
        </w:rPr>
        <w:t>,</w:t>
      </w:r>
      <w:r w:rsidRPr="00A01E71">
        <w:rPr>
          <w:sz w:val="24"/>
          <w:szCs w:val="24"/>
        </w:rPr>
        <w:t xml:space="preserve"> deberán responder al planteamiento </w:t>
      </w:r>
      <w:r w:rsidR="00BA4BFB" w:rsidRPr="00A01E71">
        <w:rPr>
          <w:sz w:val="24"/>
          <w:szCs w:val="24"/>
        </w:rPr>
        <w:t xml:space="preserve">inicial </w:t>
      </w:r>
      <w:r w:rsidRPr="00A01E71">
        <w:rPr>
          <w:sz w:val="24"/>
          <w:szCs w:val="24"/>
        </w:rPr>
        <w:t xml:space="preserve">de </w:t>
      </w:r>
      <w:r w:rsidR="006A2CE6">
        <w:rPr>
          <w:sz w:val="24"/>
          <w:szCs w:val="24"/>
        </w:rPr>
        <w:t>que</w:t>
      </w:r>
      <w:r w:rsidR="00ED3FB5" w:rsidRPr="00A01E71">
        <w:rPr>
          <w:sz w:val="24"/>
          <w:szCs w:val="24"/>
        </w:rPr>
        <w:t>, para</w:t>
      </w:r>
      <w:r w:rsidRPr="00A01E71">
        <w:rPr>
          <w:sz w:val="24"/>
          <w:szCs w:val="24"/>
        </w:rPr>
        <w:t xml:space="preserve"> la empresa escogida, </w:t>
      </w:r>
      <w:r w:rsidR="00ED3FB5" w:rsidRPr="00A01E71">
        <w:rPr>
          <w:sz w:val="24"/>
          <w:szCs w:val="24"/>
        </w:rPr>
        <w:t>e</w:t>
      </w:r>
      <w:r w:rsidRPr="00A01E71">
        <w:rPr>
          <w:sz w:val="24"/>
          <w:szCs w:val="24"/>
        </w:rPr>
        <w:t>l apostar por la movilidad eléctrica, ha</w:t>
      </w:r>
      <w:r w:rsidR="00BA4BFB" w:rsidRPr="00A01E71">
        <w:rPr>
          <w:sz w:val="24"/>
          <w:szCs w:val="24"/>
        </w:rPr>
        <w:t xml:space="preserve"> sido una elección beneficiosa </w:t>
      </w:r>
      <w:r w:rsidR="006A2CE6">
        <w:rPr>
          <w:sz w:val="24"/>
          <w:szCs w:val="24"/>
        </w:rPr>
        <w:t xml:space="preserve">y, en caso afirmativo o negativo, </w:t>
      </w:r>
      <w:r w:rsidR="00BA4BFB" w:rsidRPr="00A01E71">
        <w:rPr>
          <w:sz w:val="24"/>
          <w:szCs w:val="24"/>
        </w:rPr>
        <w:t>en</w:t>
      </w:r>
      <w:r w:rsidR="006A2CE6">
        <w:rPr>
          <w:sz w:val="24"/>
          <w:szCs w:val="24"/>
        </w:rPr>
        <w:t xml:space="preserve"> qué</w:t>
      </w:r>
      <w:r w:rsidR="00BA4BFB" w:rsidRPr="00A01E71">
        <w:rPr>
          <w:sz w:val="24"/>
          <w:szCs w:val="24"/>
        </w:rPr>
        <w:t xml:space="preserve"> términos</w:t>
      </w:r>
      <w:r w:rsidR="006A2CE6">
        <w:rPr>
          <w:sz w:val="24"/>
          <w:szCs w:val="24"/>
        </w:rPr>
        <w:t xml:space="preserve"> se ha visto beneficiada o perjudicada</w:t>
      </w:r>
      <w:r w:rsidR="00B234D8">
        <w:rPr>
          <w:sz w:val="24"/>
          <w:szCs w:val="24"/>
        </w:rPr>
        <w:t xml:space="preserve"> por la apuesta hacia esta nueva forma de movilidad</w:t>
      </w:r>
      <w:r w:rsidR="006A2CE6">
        <w:rPr>
          <w:sz w:val="24"/>
          <w:szCs w:val="24"/>
        </w:rPr>
        <w:t>.</w:t>
      </w:r>
    </w:p>
    <w:p w14:paraId="7E6086A3" w14:textId="581A266E" w:rsidR="008F586F" w:rsidRPr="00ED3FB5" w:rsidRDefault="008F586F" w:rsidP="002B4AD5">
      <w:pPr>
        <w:spacing w:line="360" w:lineRule="auto"/>
        <w:jc w:val="both"/>
        <w:rPr>
          <w:sz w:val="24"/>
          <w:szCs w:val="24"/>
        </w:rPr>
      </w:pPr>
    </w:p>
    <w:p w14:paraId="11B7BF24" w14:textId="43263BA1" w:rsidR="00813A4E" w:rsidRPr="00ED3FB5" w:rsidRDefault="00091D9D" w:rsidP="002B4AD5">
      <w:pPr>
        <w:pStyle w:val="Prrafodelista"/>
        <w:numPr>
          <w:ilvl w:val="0"/>
          <w:numId w:val="7"/>
        </w:numPr>
        <w:spacing w:line="360" w:lineRule="auto"/>
        <w:jc w:val="both"/>
        <w:rPr>
          <w:sz w:val="24"/>
          <w:szCs w:val="24"/>
        </w:rPr>
      </w:pPr>
      <w:r>
        <w:rPr>
          <w:sz w:val="24"/>
          <w:szCs w:val="24"/>
        </w:rPr>
        <w:t>Análisis de</w:t>
      </w:r>
      <w:r w:rsidR="008F586F" w:rsidRPr="00ED3FB5">
        <w:rPr>
          <w:sz w:val="24"/>
          <w:szCs w:val="24"/>
        </w:rPr>
        <w:t xml:space="preserve"> la </w:t>
      </w:r>
      <w:r>
        <w:rPr>
          <w:sz w:val="24"/>
          <w:szCs w:val="24"/>
        </w:rPr>
        <w:t xml:space="preserve">actual </w:t>
      </w:r>
      <w:r w:rsidR="008F586F" w:rsidRPr="00ED3FB5">
        <w:rPr>
          <w:sz w:val="24"/>
          <w:szCs w:val="24"/>
        </w:rPr>
        <w:t>Unión Europea y retos futuros</w:t>
      </w:r>
    </w:p>
    <w:p w14:paraId="01770054" w14:textId="45D0CDBF" w:rsidR="0022012F" w:rsidRPr="00ED3FB5" w:rsidRDefault="008F586F" w:rsidP="002B4AD5">
      <w:pPr>
        <w:spacing w:line="360" w:lineRule="auto"/>
        <w:jc w:val="both"/>
        <w:rPr>
          <w:sz w:val="24"/>
          <w:szCs w:val="24"/>
        </w:rPr>
      </w:pPr>
      <w:r w:rsidRPr="00ED3FB5">
        <w:rPr>
          <w:sz w:val="24"/>
          <w:szCs w:val="24"/>
        </w:rPr>
        <w:t>El pro</w:t>
      </w:r>
      <w:r w:rsidR="006C1385" w:rsidRPr="00ED3FB5">
        <w:rPr>
          <w:sz w:val="24"/>
          <w:szCs w:val="24"/>
        </w:rPr>
        <w:t>yecto de la Unión Europea nació</w:t>
      </w:r>
      <w:r w:rsidRPr="00ED3FB5">
        <w:rPr>
          <w:sz w:val="24"/>
          <w:szCs w:val="24"/>
        </w:rPr>
        <w:t xml:space="preserve"> con el objetivo de integrar diversos países con objetivos económicos comunes con la idea de fortalecerse juntos y crear una nueva fuerza política con ventajas en muchos ámbitos </w:t>
      </w:r>
      <w:r w:rsidR="00813A4E" w:rsidRPr="00ED3FB5">
        <w:rPr>
          <w:sz w:val="24"/>
          <w:szCs w:val="24"/>
        </w:rPr>
        <w:t xml:space="preserve">dado por las diferentes capacidades de cada país, con sus puntos fuertes y sus puntos débiles, conjugar las partes y facilitar el </w:t>
      </w:r>
      <w:r w:rsidR="00813A4E" w:rsidRPr="00ED3FB5">
        <w:rPr>
          <w:sz w:val="24"/>
          <w:szCs w:val="24"/>
        </w:rPr>
        <w:lastRenderedPageBreak/>
        <w:t>comercio y la movilidad entre ellos</w:t>
      </w:r>
      <w:r w:rsidR="0022012F" w:rsidRPr="00ED3FB5">
        <w:rPr>
          <w:sz w:val="24"/>
          <w:szCs w:val="24"/>
        </w:rPr>
        <w:t>. Tras la anexión de varios países posteriormente, la Unión Europea ha vivido años de gran crecimiento hasta la crisis económica de 2008, a partir de la cual se desencadenaron algunas de las crisis que comentaremos en los apartados siguientes.</w:t>
      </w:r>
    </w:p>
    <w:p w14:paraId="4AE00F25" w14:textId="1832CB7C" w:rsidR="00813A4E" w:rsidRPr="00ED3FB5" w:rsidRDefault="0022012F" w:rsidP="002B4AD5">
      <w:pPr>
        <w:pStyle w:val="Prrafodelista"/>
        <w:numPr>
          <w:ilvl w:val="1"/>
          <w:numId w:val="7"/>
        </w:numPr>
        <w:spacing w:line="360" w:lineRule="auto"/>
        <w:jc w:val="both"/>
        <w:rPr>
          <w:sz w:val="24"/>
          <w:szCs w:val="24"/>
        </w:rPr>
      </w:pPr>
      <w:r w:rsidRPr="00ED3FB5">
        <w:rPr>
          <w:sz w:val="24"/>
          <w:szCs w:val="24"/>
        </w:rPr>
        <w:t>Reto demográfico</w:t>
      </w:r>
    </w:p>
    <w:p w14:paraId="6C4DA6FF" w14:textId="77777777" w:rsidR="00676279" w:rsidRPr="00ED3FB5" w:rsidRDefault="0022012F" w:rsidP="002B4AD5">
      <w:pPr>
        <w:spacing w:line="360" w:lineRule="auto"/>
        <w:jc w:val="both"/>
        <w:rPr>
          <w:sz w:val="24"/>
          <w:szCs w:val="24"/>
        </w:rPr>
      </w:pPr>
      <w:r w:rsidRPr="00ED3FB5">
        <w:rPr>
          <w:sz w:val="24"/>
          <w:szCs w:val="24"/>
        </w:rPr>
        <w:t xml:space="preserve">La demografía en la UE sufre un envejecimiento desde hace años. En la obra de 1989de Carmen Galán, José Ángel Martín, y Miguel </w:t>
      </w:r>
      <w:proofErr w:type="spellStart"/>
      <w:r w:rsidRPr="00ED3FB5">
        <w:rPr>
          <w:sz w:val="24"/>
          <w:szCs w:val="24"/>
        </w:rPr>
        <w:t>Torremocha</w:t>
      </w:r>
      <w:proofErr w:type="spellEnd"/>
      <w:r w:rsidRPr="00ED3FB5">
        <w:rPr>
          <w:sz w:val="24"/>
          <w:szCs w:val="24"/>
        </w:rPr>
        <w:t>, sobre la creación de la Comunidad Europea, ya se venía observando la tendencia demográfica en que la tasa de reposición se mantenía o disminuía</w:t>
      </w:r>
      <w:r w:rsidR="00676279" w:rsidRPr="00ED3FB5">
        <w:rPr>
          <w:sz w:val="24"/>
          <w:szCs w:val="24"/>
        </w:rPr>
        <w:t>, que paradójicamente viene dado por el enriquecimiento que experimentaron muchas de las familias europeas a partir de los años 60, que pudieron decidir tener meno hijos, así como la aparición de los métodos anticonceptivos y las mejoras en la medicina y la profilaxis.</w:t>
      </w:r>
    </w:p>
    <w:p w14:paraId="369B37FE" w14:textId="1888569B" w:rsidR="00C20687" w:rsidRPr="00ED3FB5" w:rsidRDefault="00676279" w:rsidP="002B4AD5">
      <w:pPr>
        <w:spacing w:line="360" w:lineRule="auto"/>
        <w:jc w:val="both"/>
        <w:rPr>
          <w:sz w:val="24"/>
          <w:szCs w:val="24"/>
        </w:rPr>
      </w:pPr>
      <w:r w:rsidRPr="00ED3FB5">
        <w:rPr>
          <w:sz w:val="24"/>
          <w:szCs w:val="24"/>
        </w:rPr>
        <w:t xml:space="preserve">De este envejecimiento </w:t>
      </w:r>
      <w:r w:rsidR="00E2360C" w:rsidRPr="00ED3FB5">
        <w:rPr>
          <w:sz w:val="24"/>
          <w:szCs w:val="24"/>
        </w:rPr>
        <w:t xml:space="preserve">surge </w:t>
      </w:r>
      <w:r w:rsidR="002671C4" w:rsidRPr="00ED3FB5">
        <w:rPr>
          <w:sz w:val="24"/>
          <w:szCs w:val="24"/>
        </w:rPr>
        <w:t>el problema de</w:t>
      </w:r>
      <w:r w:rsidRPr="00ED3FB5">
        <w:rPr>
          <w:sz w:val="24"/>
          <w:szCs w:val="24"/>
        </w:rPr>
        <w:t>l mayor gasto en seguridad social,</w:t>
      </w:r>
      <w:r w:rsidR="00E2360C" w:rsidRPr="00ED3FB5">
        <w:rPr>
          <w:sz w:val="24"/>
          <w:szCs w:val="24"/>
        </w:rPr>
        <w:t xml:space="preserve"> y contrasta con</w:t>
      </w:r>
      <w:r w:rsidRPr="00ED3FB5">
        <w:rPr>
          <w:sz w:val="24"/>
          <w:szCs w:val="24"/>
        </w:rPr>
        <w:t xml:space="preserve"> el retraso de las nuevas generaciones a acceder al mercado laboral – marcado también por el aumento de jóvenes matriculados</w:t>
      </w:r>
      <w:r w:rsidR="00E2360C" w:rsidRPr="00ED3FB5">
        <w:rPr>
          <w:sz w:val="24"/>
          <w:szCs w:val="24"/>
        </w:rPr>
        <w:t xml:space="preserve"> en estudios superiores.</w:t>
      </w:r>
    </w:p>
    <w:p w14:paraId="416F2D0F" w14:textId="50720BB3" w:rsidR="00E2360C" w:rsidRPr="00ED3FB5" w:rsidRDefault="00E2360C" w:rsidP="002B4AD5">
      <w:pPr>
        <w:spacing w:line="360" w:lineRule="auto"/>
        <w:jc w:val="both"/>
        <w:rPr>
          <w:sz w:val="24"/>
          <w:szCs w:val="24"/>
        </w:rPr>
      </w:pPr>
      <w:r w:rsidRPr="00ED3FB5">
        <w:rPr>
          <w:sz w:val="24"/>
          <w:szCs w:val="24"/>
        </w:rPr>
        <w:t>En definitiva, el peso cedido algún tiempo atrás a la procreación a gran escala que se traducía en gran mano de obra deja de cobrar tanto sentido con las nuevas inversiones en tecnología</w:t>
      </w:r>
      <w:r w:rsidR="002B0B29">
        <w:rPr>
          <w:rStyle w:val="Refdenotaalpie"/>
          <w:sz w:val="24"/>
          <w:szCs w:val="24"/>
        </w:rPr>
        <w:footnoteReference w:id="1"/>
      </w:r>
      <w:r w:rsidRPr="00ED3FB5">
        <w:rPr>
          <w:sz w:val="24"/>
          <w:szCs w:val="24"/>
        </w:rPr>
        <w:t>.</w:t>
      </w:r>
    </w:p>
    <w:p w14:paraId="52EB2F74" w14:textId="1A89312D" w:rsidR="00813A4E" w:rsidRPr="00ED3FB5" w:rsidRDefault="00813A4E" w:rsidP="002B4AD5">
      <w:pPr>
        <w:pStyle w:val="Prrafodelista"/>
        <w:numPr>
          <w:ilvl w:val="1"/>
          <w:numId w:val="7"/>
        </w:numPr>
        <w:spacing w:before="240" w:line="360" w:lineRule="auto"/>
        <w:jc w:val="both"/>
        <w:rPr>
          <w:sz w:val="24"/>
          <w:szCs w:val="24"/>
        </w:rPr>
      </w:pPr>
      <w:r w:rsidRPr="00ED3FB5">
        <w:rPr>
          <w:sz w:val="24"/>
          <w:szCs w:val="24"/>
        </w:rPr>
        <w:t>Tecnología y empleo</w:t>
      </w:r>
    </w:p>
    <w:p w14:paraId="246F5E64" w14:textId="3079C0A7" w:rsidR="000011F9" w:rsidRPr="00ED3FB5" w:rsidRDefault="00511CB9" w:rsidP="002B4AD5">
      <w:pPr>
        <w:spacing w:before="240" w:line="360" w:lineRule="auto"/>
        <w:jc w:val="both"/>
        <w:rPr>
          <w:sz w:val="24"/>
          <w:szCs w:val="24"/>
        </w:rPr>
      </w:pPr>
      <w:r w:rsidRPr="00ED3FB5">
        <w:rPr>
          <w:sz w:val="24"/>
          <w:szCs w:val="24"/>
        </w:rPr>
        <w:t>La Comisión Europea publicó en 2018 un informe acerca del impacto de la digitalización sobre el merca</w:t>
      </w:r>
      <w:r w:rsidR="000E5CBD" w:rsidRPr="00ED3FB5">
        <w:rPr>
          <w:sz w:val="24"/>
          <w:szCs w:val="24"/>
        </w:rPr>
        <w:t>do de trabajo en Europa, tratando diversos temas como la transformación digital, los cambios en la demanda de trabajo y en el suministro, así como sobre la creación neta de empleo y polarización de la tipología de trabajos.</w:t>
      </w:r>
    </w:p>
    <w:p w14:paraId="23884C96" w14:textId="7D66B06B" w:rsidR="00813A4E" w:rsidRPr="00ED3FB5" w:rsidRDefault="00813A4E" w:rsidP="002B4AD5">
      <w:pPr>
        <w:pStyle w:val="Prrafodelista"/>
        <w:numPr>
          <w:ilvl w:val="1"/>
          <w:numId w:val="7"/>
        </w:numPr>
        <w:spacing w:before="240" w:line="360" w:lineRule="auto"/>
        <w:jc w:val="both"/>
        <w:rPr>
          <w:sz w:val="24"/>
          <w:szCs w:val="24"/>
        </w:rPr>
      </w:pPr>
      <w:r w:rsidRPr="00ED3FB5">
        <w:rPr>
          <w:sz w:val="24"/>
          <w:szCs w:val="24"/>
        </w:rPr>
        <w:t>Sostenibilidad y Agenda 2030</w:t>
      </w:r>
    </w:p>
    <w:p w14:paraId="678AF76C" w14:textId="2A06138D" w:rsidR="000E5CBD" w:rsidRPr="00ED3FB5" w:rsidRDefault="0026764E" w:rsidP="002B4AD5">
      <w:pPr>
        <w:spacing w:before="240" w:line="360" w:lineRule="auto"/>
        <w:jc w:val="both"/>
        <w:rPr>
          <w:sz w:val="24"/>
          <w:szCs w:val="24"/>
        </w:rPr>
      </w:pPr>
      <w:r w:rsidRPr="00ED3FB5">
        <w:rPr>
          <w:sz w:val="24"/>
          <w:szCs w:val="24"/>
        </w:rPr>
        <w:lastRenderedPageBreak/>
        <w:t>En 2015, la organización de las Naciones Unidas propuso a los dirigentes 17 objetivos a alcanzar para el año 2030, que consisten en términos sociales en erradicar la pobreza y la desnutrición, mejor sanidad y educación, igualdad, la sostenibilidad en la industria, la producción y uso de energías, y la protección del medio ambiente.</w:t>
      </w:r>
    </w:p>
    <w:p w14:paraId="78E1D803" w14:textId="2248C146" w:rsidR="00813A4E" w:rsidRPr="00ED3FB5" w:rsidRDefault="00DD4222" w:rsidP="002B4AD5">
      <w:pPr>
        <w:pStyle w:val="Prrafodelista"/>
        <w:numPr>
          <w:ilvl w:val="1"/>
          <w:numId w:val="7"/>
        </w:numPr>
        <w:spacing w:before="240" w:line="360" w:lineRule="auto"/>
        <w:jc w:val="both"/>
        <w:rPr>
          <w:sz w:val="24"/>
          <w:szCs w:val="24"/>
        </w:rPr>
      </w:pPr>
      <w:r w:rsidRPr="00ED3FB5">
        <w:rPr>
          <w:sz w:val="24"/>
          <w:szCs w:val="24"/>
        </w:rPr>
        <w:t>Política monetaria e inflación</w:t>
      </w:r>
    </w:p>
    <w:p w14:paraId="0BB0ACF7" w14:textId="7C189801" w:rsidR="00F07221" w:rsidRPr="00ED3FB5" w:rsidRDefault="00F9146E" w:rsidP="002B4AD5">
      <w:pPr>
        <w:spacing w:before="240" w:line="360" w:lineRule="auto"/>
        <w:jc w:val="both"/>
        <w:rPr>
          <w:sz w:val="24"/>
          <w:szCs w:val="24"/>
        </w:rPr>
      </w:pPr>
      <w:r w:rsidRPr="00ED3FB5">
        <w:rPr>
          <w:noProof/>
          <w:sz w:val="24"/>
          <w:szCs w:val="24"/>
          <w:lang w:eastAsia="es-ES"/>
        </w:rPr>
        <mc:AlternateContent>
          <mc:Choice Requires="wps">
            <w:drawing>
              <wp:anchor distT="0" distB="0" distL="114300" distR="114300" simplePos="0" relativeHeight="251660288" behindDoc="1" locked="0" layoutInCell="1" allowOverlap="1" wp14:anchorId="40773658" wp14:editId="5F5E4285">
                <wp:simplePos x="0" y="0"/>
                <wp:positionH relativeFrom="column">
                  <wp:posOffset>3260090</wp:posOffset>
                </wp:positionH>
                <wp:positionV relativeFrom="paragraph">
                  <wp:posOffset>2722245</wp:posOffset>
                </wp:positionV>
                <wp:extent cx="1251115" cy="265193"/>
                <wp:effectExtent l="0" t="0" r="6350" b="1905"/>
                <wp:wrapTight wrapText="bothSides">
                  <wp:wrapPolygon edited="0">
                    <wp:start x="0" y="0"/>
                    <wp:lineTo x="0" y="20201"/>
                    <wp:lineTo x="21381" y="20201"/>
                    <wp:lineTo x="21381"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1251115" cy="265193"/>
                        </a:xfrm>
                        <a:prstGeom prst="rect">
                          <a:avLst/>
                        </a:prstGeom>
                        <a:solidFill>
                          <a:prstClr val="white"/>
                        </a:solidFill>
                        <a:ln>
                          <a:noFill/>
                        </a:ln>
                      </wps:spPr>
                      <wps:txbx>
                        <w:txbxContent>
                          <w:p w14:paraId="0FF16804" w14:textId="759259E0" w:rsidR="00544343" w:rsidRPr="00BB5FB5" w:rsidRDefault="00D866D4" w:rsidP="00544343">
                            <w:pPr>
                              <w:pStyle w:val="Descripcin"/>
                            </w:pPr>
                            <w:fldSimple w:instr=" SEQ Ilustración \* ARABIC ">
                              <w:r w:rsidR="007E6B0B">
                                <w:rPr>
                                  <w:noProof/>
                                </w:rPr>
                                <w:t>1</w:t>
                              </w:r>
                            </w:fldSimple>
                            <w:r w:rsidR="00544343">
                              <w:t xml:space="preserve">. </w:t>
                            </w:r>
                            <w:r w:rsidR="00544343" w:rsidRPr="001B5CB2">
                              <w:t>El país 28-11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73658" id="_x0000_t202" coordsize="21600,21600" o:spt="202" path="m,l,21600r21600,l21600,xe">
                <v:stroke joinstyle="miter"/>
                <v:path gradientshapeok="t" o:connecttype="rect"/>
              </v:shapetype>
              <v:shape id="Cuadro de texto 3" o:spid="_x0000_s1026" type="#_x0000_t202" style="position:absolute;margin-left:256.7pt;margin-top:214.35pt;width:98.5pt;height:2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oKMwIAAGcEAAAOAAAAZHJzL2Uyb0RvYy54bWysVE1v2zAMvQ/YfxB0XxynSLEZcYosRYYB&#10;QVsgHXpWZCkWIIsapcTOfv0oO063bqdhF5kSP98j6cVd11h2UhgMuJLnkylnykmojDuU/Nvz5sNH&#10;zkIUrhIWnCr5WQV+t3z/btH6Qs2gBlspZBTEhaL1Ja9j9EWWBVmrRoQJeOVIqQEbEemKh6xC0VL0&#10;xmaz6fQ2awErjyBVCPR6Pyj5so+vtZLxUeugIrMlp9pif2J/7tOZLReiOKDwtZGXMsQ/VNEI4yjp&#10;NdS9iIId0fwRqjESIYCOEwlNBlobqXoMhCafvkGzq4VXPRYiJ/grTeH/hZUPpydkpir5DWdONNSi&#10;9VFUCKxSLKouArtJJLU+FGS782Qdu8/QUbPH90CPCXunsUlfQsVIT3SfrxRTJCaT02ye5/mcM0m6&#10;2e08/9SHz169PYb4RUHDklBypBb2zIrTNkSqhExHk5QsgDXVxlibLkmxtshOgtrd1iaqVCN5/GZl&#10;XbJ1kLwGdXrJEsQBSpJit+8uuPdQnQk2wjA9wcuNoURbEeKTQBoXQkorEB/p0BbaksNF4qwG/PG3&#10;92RPXSQtZy2NX8nD96NAxZn96qi/aVZHAUdhPwru2KyBIOa0XF72IjlgtKOoEZoX2oxVykIq4STl&#10;KnkcxXUcloA2S6rVqjeiifQibt3OyxR6JPS5exHoL+1II/EA42CK4k1XBtuB3tUxgjZ9yxKhA4sX&#10;nmma+75cNi+ty6/33ur1/7D8CQAA//8DAFBLAwQUAAYACAAAACEA64nKruAAAAALAQAADwAAAGRy&#10;cy9kb3ducmV2LnhtbEyPwU7DMAyG70i8Q2QkLoglLds6laYTbHAbh41p56wJbUXjVEm6dm+POcHR&#10;vz/9/lysJ9uxi/GhdSghmQlgBiunW6wlHD/fH1fAQlSoVefQSLiaAOvy9qZQuXYj7s3lEGtGJRhy&#10;JaGJsc85D1VjrAoz1xuk3ZfzVkUafc21VyOV246nQiy5VS3ShUb1ZtOY6vswWAnLrR/GPW4etse3&#10;nfro6/T0ej1JeX83vTwDi2aKfzD86pM6lOR0dgPqwDoJi+RpTqiEebrKgBGRJYKSMyWZWAAvC/7/&#10;h/IHAAD//wMAUEsBAi0AFAAGAAgAAAAhALaDOJL+AAAA4QEAABMAAAAAAAAAAAAAAAAAAAAAAFtD&#10;b250ZW50X1R5cGVzXS54bWxQSwECLQAUAAYACAAAACEAOP0h/9YAAACUAQAACwAAAAAAAAAAAAAA&#10;AAAvAQAAX3JlbHMvLnJlbHNQSwECLQAUAAYACAAAACEAsCEKCjMCAABnBAAADgAAAAAAAAAAAAAA&#10;AAAuAgAAZHJzL2Uyb0RvYy54bWxQSwECLQAUAAYACAAAACEA64nKruAAAAALAQAADwAAAAAAAAAA&#10;AAAAAACNBAAAZHJzL2Rvd25yZXYueG1sUEsFBgAAAAAEAAQA8wAAAJoFAAAAAA==&#10;" stroked="f">
                <v:textbox inset="0,0,0,0">
                  <w:txbxContent>
                    <w:p w14:paraId="0FF16804" w14:textId="759259E0" w:rsidR="00544343" w:rsidRPr="00BB5FB5" w:rsidRDefault="00CA1B9B" w:rsidP="00544343">
                      <w:pPr>
                        <w:pStyle w:val="Descripcin"/>
                      </w:pPr>
                      <w:fldSimple w:instr=" SEQ Ilustración \* ARABIC ">
                        <w:r w:rsidR="007E6B0B">
                          <w:rPr>
                            <w:noProof/>
                          </w:rPr>
                          <w:t>1</w:t>
                        </w:r>
                      </w:fldSimple>
                      <w:r w:rsidR="00544343">
                        <w:t xml:space="preserve">. </w:t>
                      </w:r>
                      <w:r w:rsidR="00544343" w:rsidRPr="001B5CB2">
                        <w:t>El país 28-11</w:t>
                      </w:r>
                    </w:p>
                  </w:txbxContent>
                </v:textbox>
                <w10:wrap type="tight"/>
              </v:shape>
            </w:pict>
          </mc:Fallback>
        </mc:AlternateContent>
      </w:r>
      <w:r w:rsidRPr="00ED3FB5">
        <w:rPr>
          <w:noProof/>
          <w:sz w:val="24"/>
          <w:szCs w:val="24"/>
          <w:lang w:eastAsia="es-ES"/>
        </w:rPr>
        <w:drawing>
          <wp:anchor distT="0" distB="0" distL="114300" distR="114300" simplePos="0" relativeHeight="251658240" behindDoc="1" locked="0" layoutInCell="1" allowOverlap="1" wp14:anchorId="35F474ED" wp14:editId="02CED8D4">
            <wp:simplePos x="0" y="0"/>
            <wp:positionH relativeFrom="margin">
              <wp:align>right</wp:align>
            </wp:positionH>
            <wp:positionV relativeFrom="paragraph">
              <wp:posOffset>60960</wp:posOffset>
            </wp:positionV>
            <wp:extent cx="2216150" cy="2621915"/>
            <wp:effectExtent l="0" t="0" r="0" b="6985"/>
            <wp:wrapTight wrapText="bothSides">
              <wp:wrapPolygon edited="0">
                <wp:start x="0" y="0"/>
                <wp:lineTo x="0" y="21501"/>
                <wp:lineTo x="21352" y="21501"/>
                <wp:lineTo x="21352" y="0"/>
                <wp:lineTo x="0" y="0"/>
              </wp:wrapPolygon>
            </wp:wrapTight>
            <wp:docPr id="2"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0" cy="2621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BCF" w:rsidRPr="00ED3FB5">
        <w:rPr>
          <w:sz w:val="24"/>
          <w:szCs w:val="24"/>
        </w:rPr>
        <w:t>La política monetaria expansionista llevada a cabo por el Banco Central Europeo durante 2020 y 2021</w:t>
      </w:r>
      <w:r w:rsidR="00544343" w:rsidRPr="00ED3FB5">
        <w:rPr>
          <w:sz w:val="24"/>
          <w:szCs w:val="24"/>
        </w:rPr>
        <w:t xml:space="preserve"> en aras de la recuperación económica tras el parón productivo causado por la pandemia</w:t>
      </w:r>
      <w:r w:rsidR="00FD3BCF" w:rsidRPr="00ED3FB5">
        <w:rPr>
          <w:sz w:val="24"/>
          <w:szCs w:val="24"/>
        </w:rPr>
        <w:t xml:space="preserve"> ha </w:t>
      </w:r>
      <w:r w:rsidR="00544343" w:rsidRPr="00ED3FB5">
        <w:rPr>
          <w:sz w:val="24"/>
          <w:szCs w:val="24"/>
        </w:rPr>
        <w:t xml:space="preserve">derivado en 2021 </w:t>
      </w:r>
      <w:r w:rsidR="00FD3BCF" w:rsidRPr="00ED3FB5">
        <w:rPr>
          <w:sz w:val="24"/>
          <w:szCs w:val="24"/>
        </w:rPr>
        <w:t xml:space="preserve">a un escenario de </w:t>
      </w:r>
      <w:r w:rsidR="00F07221" w:rsidRPr="00ED3FB5">
        <w:rPr>
          <w:sz w:val="24"/>
          <w:szCs w:val="24"/>
        </w:rPr>
        <w:t>aumento de la inflación</w:t>
      </w:r>
      <w:r w:rsidR="00544343" w:rsidRPr="00ED3FB5">
        <w:rPr>
          <w:sz w:val="24"/>
          <w:szCs w:val="24"/>
        </w:rPr>
        <w:t xml:space="preserve"> en la eurozona de entre el 5 y 6%</w:t>
      </w:r>
      <w:r w:rsidR="00FD3BCF" w:rsidRPr="00ED3FB5">
        <w:rPr>
          <w:sz w:val="24"/>
          <w:szCs w:val="24"/>
        </w:rPr>
        <w:t>.</w:t>
      </w:r>
      <w:r w:rsidR="00F07221" w:rsidRPr="00ED3FB5">
        <w:rPr>
          <w:sz w:val="24"/>
          <w:szCs w:val="24"/>
        </w:rPr>
        <w:t xml:space="preserve"> Esta situación, unida a los cuellos de botella experimentados en el suministro, ha generado un escenario de estanflación, en que los tipos de interés de mantienen bajos, mientras la oferta queda estancada.</w:t>
      </w:r>
    </w:p>
    <w:p w14:paraId="373AA6C3" w14:textId="1B324000" w:rsidR="00DD4222" w:rsidRPr="00ED3FB5" w:rsidRDefault="00813A4E" w:rsidP="002B4AD5">
      <w:pPr>
        <w:pStyle w:val="Prrafodelista"/>
        <w:numPr>
          <w:ilvl w:val="1"/>
          <w:numId w:val="7"/>
        </w:numPr>
        <w:spacing w:before="240" w:line="360" w:lineRule="auto"/>
        <w:jc w:val="both"/>
        <w:rPr>
          <w:sz w:val="24"/>
          <w:szCs w:val="24"/>
        </w:rPr>
      </w:pPr>
      <w:r w:rsidRPr="00ED3FB5">
        <w:rPr>
          <w:sz w:val="24"/>
          <w:szCs w:val="24"/>
        </w:rPr>
        <w:t>Industria</w:t>
      </w:r>
    </w:p>
    <w:p w14:paraId="52380B69" w14:textId="3C15B09C" w:rsidR="003B4CEE" w:rsidRPr="006342E3" w:rsidRDefault="00F07221" w:rsidP="002B4AD5">
      <w:pPr>
        <w:spacing w:before="240" w:line="360" w:lineRule="auto"/>
        <w:jc w:val="both"/>
        <w:rPr>
          <w:sz w:val="24"/>
          <w:szCs w:val="24"/>
        </w:rPr>
      </w:pPr>
      <w:r w:rsidRPr="006342E3">
        <w:rPr>
          <w:sz w:val="24"/>
          <w:szCs w:val="24"/>
        </w:rPr>
        <w:t>El estancamiento en la cadena de suministro, así como la inflación, han generado malestar social en el sector del metal en España, con huelgas de trabajadores que ven mermado su poder adquisitivo mientras los costes siguen aumentando.</w:t>
      </w:r>
      <w:r w:rsidR="001814FE">
        <w:rPr>
          <w:sz w:val="24"/>
          <w:szCs w:val="24"/>
        </w:rPr>
        <w:t xml:space="preserve"> Sectores como el de la alimentación y el textil están repercutiendo el alza de</w:t>
      </w:r>
      <w:r w:rsidR="00ED3FB5">
        <w:rPr>
          <w:sz w:val="24"/>
          <w:szCs w:val="24"/>
        </w:rPr>
        <w:t xml:space="preserve"> costes en los precios de venta. </w:t>
      </w:r>
      <w:r w:rsidRPr="006342E3">
        <w:rPr>
          <w:sz w:val="24"/>
          <w:szCs w:val="24"/>
        </w:rPr>
        <w:t xml:space="preserve">Además, son continuos los anuncios de que el tejido industrial mundial tal y como lo </w:t>
      </w:r>
      <w:r w:rsidR="003B4CEE" w:rsidRPr="006342E3">
        <w:rPr>
          <w:sz w:val="24"/>
          <w:szCs w:val="24"/>
        </w:rPr>
        <w:t xml:space="preserve">conocemos hoy en día tiene fecha de caducidad. Los recursos de los que la industria es dependiente y en el volumen que se aprovechan hoy día no alcanzarán más allá de 2030. Es por ello, que la UE se ha propuesto, a partir del Plan de acción de economía circular de la UE y otras medidas adicionales, reducir los residuos y promover productos sostenibles, </w:t>
      </w:r>
      <w:r w:rsidR="0060060B" w:rsidRPr="006342E3">
        <w:rPr>
          <w:sz w:val="24"/>
          <w:szCs w:val="24"/>
        </w:rPr>
        <w:t>aboga</w:t>
      </w:r>
      <w:r w:rsidR="003B4CEE" w:rsidRPr="006342E3">
        <w:rPr>
          <w:sz w:val="24"/>
          <w:szCs w:val="24"/>
        </w:rPr>
        <w:t>ndo</w:t>
      </w:r>
      <w:r w:rsidR="0060060B" w:rsidRPr="006342E3">
        <w:rPr>
          <w:sz w:val="24"/>
          <w:szCs w:val="24"/>
        </w:rPr>
        <w:t xml:space="preserve"> por una economía circular, menos dependiente de importa</w:t>
      </w:r>
      <w:r w:rsidR="003B4CEE" w:rsidRPr="006342E3">
        <w:rPr>
          <w:sz w:val="24"/>
          <w:szCs w:val="24"/>
        </w:rPr>
        <w:t>ciones de materias primas y que reduzca la explotación de recursos finitos</w:t>
      </w:r>
      <w:r w:rsidR="00ED3FB5">
        <w:rPr>
          <w:rStyle w:val="Refdenotaalpie"/>
          <w:sz w:val="24"/>
          <w:szCs w:val="24"/>
        </w:rPr>
        <w:footnoteReference w:id="2"/>
      </w:r>
      <w:r w:rsidR="003B4CEE" w:rsidRPr="006342E3">
        <w:rPr>
          <w:sz w:val="24"/>
          <w:szCs w:val="24"/>
        </w:rPr>
        <w:t>.</w:t>
      </w:r>
    </w:p>
    <w:p w14:paraId="0C2F41BE" w14:textId="4011D4D2" w:rsidR="00DD4222" w:rsidRPr="006E536E" w:rsidRDefault="00DD4222" w:rsidP="002B4AD5">
      <w:pPr>
        <w:pStyle w:val="Prrafodelista"/>
        <w:numPr>
          <w:ilvl w:val="2"/>
          <w:numId w:val="7"/>
        </w:numPr>
        <w:spacing w:before="240" w:line="360" w:lineRule="auto"/>
        <w:jc w:val="both"/>
        <w:rPr>
          <w:sz w:val="24"/>
          <w:szCs w:val="24"/>
        </w:rPr>
      </w:pPr>
      <w:r w:rsidRPr="006E536E">
        <w:rPr>
          <w:sz w:val="24"/>
          <w:szCs w:val="24"/>
        </w:rPr>
        <w:lastRenderedPageBreak/>
        <w:t>Cortes en la cadena de suministro</w:t>
      </w:r>
    </w:p>
    <w:p w14:paraId="071E4E6A" w14:textId="40CA1A82" w:rsidR="003B4CEE" w:rsidRPr="006342E3" w:rsidRDefault="00E87795" w:rsidP="002B4AD5">
      <w:pPr>
        <w:spacing w:before="240" w:line="360" w:lineRule="auto"/>
        <w:jc w:val="both"/>
        <w:rPr>
          <w:sz w:val="24"/>
          <w:szCs w:val="24"/>
        </w:rPr>
      </w:pPr>
      <w:r w:rsidRPr="006342E3">
        <w:rPr>
          <w:noProof/>
          <w:sz w:val="24"/>
          <w:szCs w:val="24"/>
          <w:lang w:eastAsia="es-ES"/>
        </w:rPr>
        <mc:AlternateContent>
          <mc:Choice Requires="wps">
            <w:drawing>
              <wp:anchor distT="0" distB="0" distL="114300" distR="114300" simplePos="0" relativeHeight="251663360" behindDoc="1" locked="0" layoutInCell="1" allowOverlap="1" wp14:anchorId="60B39E5C" wp14:editId="23924D57">
                <wp:simplePos x="0" y="0"/>
                <wp:positionH relativeFrom="column">
                  <wp:posOffset>2350135</wp:posOffset>
                </wp:positionH>
                <wp:positionV relativeFrom="paragraph">
                  <wp:posOffset>1763395</wp:posOffset>
                </wp:positionV>
                <wp:extent cx="3049905" cy="635"/>
                <wp:effectExtent l="0" t="0" r="0" b="0"/>
                <wp:wrapTight wrapText="bothSides">
                  <wp:wrapPolygon edited="0">
                    <wp:start x="0" y="0"/>
                    <wp:lineTo x="0" y="21600"/>
                    <wp:lineTo x="21600" y="21600"/>
                    <wp:lineTo x="21600" y="0"/>
                  </wp:wrapPolygon>
                </wp:wrapTight>
                <wp:docPr id="4" name="Cuadro de texto 4"/>
                <wp:cNvGraphicFramePr/>
                <a:graphic xmlns:a="http://schemas.openxmlformats.org/drawingml/2006/main">
                  <a:graphicData uri="http://schemas.microsoft.com/office/word/2010/wordprocessingShape">
                    <wps:wsp>
                      <wps:cNvSpPr txBox="1"/>
                      <wps:spPr>
                        <a:xfrm>
                          <a:off x="0" y="0"/>
                          <a:ext cx="3049905" cy="635"/>
                        </a:xfrm>
                        <a:prstGeom prst="rect">
                          <a:avLst/>
                        </a:prstGeom>
                        <a:solidFill>
                          <a:prstClr val="white"/>
                        </a:solidFill>
                        <a:ln>
                          <a:noFill/>
                        </a:ln>
                      </wps:spPr>
                      <wps:txbx>
                        <w:txbxContent>
                          <w:p w14:paraId="15638C9B" w14:textId="705E5B77" w:rsidR="00E87795" w:rsidRPr="00BE5F97" w:rsidRDefault="00E87795" w:rsidP="00E87795">
                            <w:pPr>
                              <w:pStyle w:val="Descripcin"/>
                              <w:rPr>
                                <w:noProof/>
                              </w:rPr>
                            </w:pPr>
                            <w:r>
                              <w:rPr>
                                <w:noProof/>
                              </w:rPr>
                              <w:fldChar w:fldCharType="begin"/>
                            </w:r>
                            <w:r>
                              <w:rPr>
                                <w:noProof/>
                              </w:rPr>
                              <w:instrText xml:space="preserve"> SEQ Ilustración \* ARABIC </w:instrText>
                            </w:r>
                            <w:r>
                              <w:rPr>
                                <w:noProof/>
                              </w:rPr>
                              <w:fldChar w:fldCharType="separate"/>
                            </w:r>
                            <w:r w:rsidR="007E6B0B">
                              <w:rPr>
                                <w:noProof/>
                              </w:rPr>
                              <w:t>2</w:t>
                            </w:r>
                            <w:r>
                              <w:rPr>
                                <w:noProof/>
                              </w:rPr>
                              <w:fldChar w:fldCharType="end"/>
                            </w:r>
                            <w:r>
                              <w:rPr>
                                <w:noProof/>
                              </w:rPr>
                              <w:t xml:space="preserve">. </w:t>
                            </w:r>
                            <w:r w:rsidRPr="007C57EA">
                              <w:t>El país 29-11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B39E5C" id="Cuadro de texto 4" o:spid="_x0000_s1027" type="#_x0000_t202" style="position:absolute;margin-left:185.05pt;margin-top:138.85pt;width:240.1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pSMwIAAGsEAAAOAAAAZHJzL2Uyb0RvYy54bWysVMFu2zAMvQ/YPwi6L3batFiNOEWWIsOA&#10;oi2QDj0rshwbkESNUmJnXz9KjtOu22nYRaZIitJ7j/T8tjeaHRT6FmzJp5OcM2UlVK3dlfz78/rT&#10;Z858ELYSGqwq+VF5frv4+GHeuUJdQAO6UsioiPVF50rehOCKLPOyUUb4CThlKVgDGhFoi7usQtFR&#10;daOzizy/zjrAyiFI5T1574YgX6T6da1keKxrrwLTJae3hbRiWrdxzRZzUexQuKaVp2eIf3iFEa2l&#10;S8+l7kQQbI/tH6VMKxE81GEiwWRQ161UCQOhmebv0Gwa4VTCQuR4d6bJ/7+y8uHwhKytSj7jzApD&#10;Eq32okJglWJB9QHYLJLUOV9Q7sZRdui/QE9ij35Pzoi9r9HEL6FiFCe6j2eKqRKT5LzMZzc3+RVn&#10;kmLXl1exRvZ61KEPXxUYFo2SI+mXaBWHex+G1DEl3uRBt9W61TpuYmClkR0Ead01bVCn4r9laRtz&#10;LcRTQ8HoySK+AUe0Qr/tEylnjFuojgQdYegg7+S6pfvuhQ9PAqllCC2NQXikpdbQlRxOFmcN4M+/&#10;+WM+KUlRzjpqwZL7H3uBijP9zZLGsV9HA0djOxp2b1ZASKc0YE4mkw5g0KNZI5gXmo5lvIVCwkq6&#10;q+RhNFdhGASaLqmWy5REXelEuLcbJ2Ppkdfn/kWgO6kS2+IBxuYUxTtxhtwkj1vuAzGdlIu8Diye&#10;6KaOTtqfpi+OzNt9ynr9Ryx+AQAA//8DAFBLAwQUAAYACAAAACEADxrvsuIAAAALAQAADwAAAGRy&#10;cy9kb3ducmV2LnhtbEyPsU7DMBCGdyTewTokFkTttqGJQpyqqmCApSJ0YXPjaxyIz1HstOHtMV1g&#10;vLtP/31/sZ5sx044+NaRhPlMAEOqnW6pkbB/f77PgPmgSKvOEUr4Rg/r8vqqULl2Z3rDUxUaFkPI&#10;50qCCaHPOfe1Qav8zPVI8XZ0g1UhjkPD9aDOMdx2fCHEilvVUvxgVI9bg/VXNVoJu+RjZ+7G49Pr&#10;JlkOL/txu/psKilvb6bNI7CAU/iD4Vc/qkMZnQ5uJO1ZJ2GZinlEJSzSNAUWiexBJMAOl00GvCz4&#10;/w7lDwAAAP//AwBQSwECLQAUAAYACAAAACEAtoM4kv4AAADhAQAAEwAAAAAAAAAAAAAAAAAAAAAA&#10;W0NvbnRlbnRfVHlwZXNdLnhtbFBLAQItABQABgAIAAAAIQA4/SH/1gAAAJQBAAALAAAAAAAAAAAA&#10;AAAAAC8BAABfcmVscy8ucmVsc1BLAQItABQABgAIAAAAIQDUt7pSMwIAAGsEAAAOAAAAAAAAAAAA&#10;AAAAAC4CAABkcnMvZTJvRG9jLnhtbFBLAQItABQABgAIAAAAIQAPGu+y4gAAAAsBAAAPAAAAAAAA&#10;AAAAAAAAAI0EAABkcnMvZG93bnJldi54bWxQSwUGAAAAAAQABADzAAAAnAUAAAAA&#10;" stroked="f">
                <v:textbox style="mso-fit-shape-to-text:t" inset="0,0,0,0">
                  <w:txbxContent>
                    <w:p w14:paraId="15638C9B" w14:textId="705E5B77" w:rsidR="00E87795" w:rsidRPr="00BE5F97" w:rsidRDefault="00E87795" w:rsidP="00E87795">
                      <w:pPr>
                        <w:pStyle w:val="Descripcin"/>
                        <w:rPr>
                          <w:noProof/>
                        </w:rPr>
                      </w:pPr>
                      <w:r>
                        <w:rPr>
                          <w:noProof/>
                        </w:rPr>
                        <w:fldChar w:fldCharType="begin"/>
                      </w:r>
                      <w:r>
                        <w:rPr>
                          <w:noProof/>
                        </w:rPr>
                        <w:instrText xml:space="preserve"> SEQ Ilustración \* ARABIC </w:instrText>
                      </w:r>
                      <w:r>
                        <w:rPr>
                          <w:noProof/>
                        </w:rPr>
                        <w:fldChar w:fldCharType="separate"/>
                      </w:r>
                      <w:r w:rsidR="007E6B0B">
                        <w:rPr>
                          <w:noProof/>
                        </w:rPr>
                        <w:t>2</w:t>
                      </w:r>
                      <w:r>
                        <w:rPr>
                          <w:noProof/>
                        </w:rPr>
                        <w:fldChar w:fldCharType="end"/>
                      </w:r>
                      <w:r>
                        <w:rPr>
                          <w:noProof/>
                        </w:rPr>
                        <w:t xml:space="preserve">. </w:t>
                      </w:r>
                      <w:r w:rsidRPr="007C57EA">
                        <w:t>El país 29-11</w:t>
                      </w:r>
                    </w:p>
                  </w:txbxContent>
                </v:textbox>
                <w10:wrap type="tight"/>
              </v:shape>
            </w:pict>
          </mc:Fallback>
        </mc:AlternateContent>
      </w:r>
      <w:r w:rsidRPr="006342E3">
        <w:rPr>
          <w:noProof/>
          <w:sz w:val="24"/>
          <w:szCs w:val="24"/>
          <w:lang w:eastAsia="es-ES"/>
        </w:rPr>
        <w:drawing>
          <wp:anchor distT="0" distB="0" distL="114300" distR="114300" simplePos="0" relativeHeight="251661312" behindDoc="1" locked="0" layoutInCell="1" allowOverlap="1" wp14:anchorId="70746D2D" wp14:editId="48CF3F65">
            <wp:simplePos x="0" y="0"/>
            <wp:positionH relativeFrom="margin">
              <wp:align>right</wp:align>
            </wp:positionH>
            <wp:positionV relativeFrom="paragraph">
              <wp:posOffset>59665</wp:posOffset>
            </wp:positionV>
            <wp:extent cx="3050529" cy="1647646"/>
            <wp:effectExtent l="0" t="0" r="0" b="0"/>
            <wp:wrapTight wrapText="bothSides">
              <wp:wrapPolygon edited="0">
                <wp:start x="0" y="0"/>
                <wp:lineTo x="0" y="21234"/>
                <wp:lineTo x="21452" y="21234"/>
                <wp:lineTo x="21452" y="0"/>
                <wp:lineTo x="0" y="0"/>
              </wp:wrapPolygon>
            </wp:wrapTight>
            <wp:docPr id="1"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0529" cy="1647646"/>
                    </a:xfrm>
                    <a:prstGeom prst="rect">
                      <a:avLst/>
                    </a:prstGeom>
                    <a:noFill/>
                    <a:ln>
                      <a:noFill/>
                    </a:ln>
                  </pic:spPr>
                </pic:pic>
              </a:graphicData>
            </a:graphic>
          </wp:anchor>
        </w:drawing>
      </w:r>
      <w:r w:rsidR="003B4CEE" w:rsidRPr="006342E3">
        <w:rPr>
          <w:sz w:val="24"/>
          <w:szCs w:val="24"/>
        </w:rPr>
        <w:t xml:space="preserve">Desde mediados de 2021, hemos </w:t>
      </w:r>
      <w:r w:rsidRPr="006342E3">
        <w:rPr>
          <w:sz w:val="24"/>
          <w:szCs w:val="24"/>
        </w:rPr>
        <w:t>experimentado cuellos de botella</w:t>
      </w:r>
      <w:r w:rsidR="003B4CEE" w:rsidRPr="006342E3">
        <w:rPr>
          <w:sz w:val="24"/>
          <w:szCs w:val="24"/>
        </w:rPr>
        <w:t xml:space="preserve"> </w:t>
      </w:r>
      <w:r w:rsidRPr="006342E3">
        <w:rPr>
          <w:sz w:val="24"/>
          <w:szCs w:val="24"/>
        </w:rPr>
        <w:t xml:space="preserve">en </w:t>
      </w:r>
      <w:r w:rsidR="003B4CEE" w:rsidRPr="006342E3">
        <w:rPr>
          <w:sz w:val="24"/>
          <w:szCs w:val="24"/>
        </w:rPr>
        <w:t>el suministro entre países, ya sea por la incipiente escasez de materias primas, porque la demanda de estos productos ha aumentado en Asia y, en concreto, por la clase media en China que ha ganado poder adquisitivo, y por el auge en el coste de transporte (flete y combustible).</w:t>
      </w:r>
    </w:p>
    <w:p w14:paraId="29DBD4AA" w14:textId="3C0A4F17" w:rsidR="00DD4222" w:rsidRPr="00ED3FB5" w:rsidRDefault="00DD4222" w:rsidP="002B4AD5">
      <w:pPr>
        <w:pStyle w:val="Prrafodelista"/>
        <w:numPr>
          <w:ilvl w:val="2"/>
          <w:numId w:val="7"/>
        </w:numPr>
        <w:spacing w:before="240" w:line="360" w:lineRule="auto"/>
        <w:jc w:val="both"/>
        <w:rPr>
          <w:sz w:val="24"/>
          <w:szCs w:val="24"/>
        </w:rPr>
      </w:pPr>
      <w:r w:rsidRPr="00ED3FB5">
        <w:rPr>
          <w:sz w:val="24"/>
          <w:szCs w:val="24"/>
        </w:rPr>
        <w:t>Escasez de materias primas</w:t>
      </w:r>
      <w:r w:rsidR="006E536E">
        <w:rPr>
          <w:sz w:val="24"/>
          <w:szCs w:val="24"/>
        </w:rPr>
        <w:t xml:space="preserve"> y crisis energética</w:t>
      </w:r>
    </w:p>
    <w:p w14:paraId="3A1CCC71" w14:textId="2A6CE635" w:rsidR="004A1515" w:rsidRDefault="000A244D" w:rsidP="002B4AD5">
      <w:pPr>
        <w:spacing w:before="240" w:line="360" w:lineRule="auto"/>
        <w:jc w:val="both"/>
        <w:rPr>
          <w:sz w:val="24"/>
          <w:szCs w:val="24"/>
        </w:rPr>
      </w:pPr>
      <w:r w:rsidRPr="000A244D">
        <w:rPr>
          <w:sz w:val="24"/>
          <w:szCs w:val="24"/>
        </w:rPr>
        <w:t xml:space="preserve">La inflación experimentada en los últimos meses ha tenido lugar, además de por los cuellos de botella, porque ciertas materias primas presentan escasez. Desde los años 70 se viene </w:t>
      </w:r>
      <w:r>
        <w:rPr>
          <w:sz w:val="24"/>
          <w:szCs w:val="24"/>
        </w:rPr>
        <w:t xml:space="preserve">observando que </w:t>
      </w:r>
      <w:r w:rsidR="00EE2A79">
        <w:rPr>
          <w:sz w:val="24"/>
          <w:szCs w:val="24"/>
        </w:rPr>
        <w:t>el consumo de materias primas es exponencial a la vez que son recursos limitados</w:t>
      </w:r>
      <w:r w:rsidR="00EE2A79">
        <w:rPr>
          <w:rStyle w:val="Refdenotaalpie"/>
          <w:sz w:val="24"/>
          <w:szCs w:val="24"/>
        </w:rPr>
        <w:footnoteReference w:id="3"/>
      </w:r>
      <w:r>
        <w:rPr>
          <w:sz w:val="24"/>
          <w:szCs w:val="24"/>
        </w:rPr>
        <w:t>, mientras el consumo de productos fabricados a partir de éstas aumenta paulatinamente,</w:t>
      </w:r>
      <w:r w:rsidR="00CC74F0">
        <w:rPr>
          <w:sz w:val="24"/>
          <w:szCs w:val="24"/>
        </w:rPr>
        <w:t xml:space="preserve"> observándose que la escasez se incrementa en un 3% anual, que se acentúa con el incremento interanual poblacional del 1%</w:t>
      </w:r>
      <w:r w:rsidR="00CC74F0">
        <w:rPr>
          <w:rStyle w:val="Refdenotaalpie"/>
          <w:sz w:val="24"/>
          <w:szCs w:val="24"/>
        </w:rPr>
        <w:footnoteReference w:id="4"/>
      </w:r>
      <w:r w:rsidR="00CC74F0">
        <w:rPr>
          <w:sz w:val="24"/>
          <w:szCs w:val="24"/>
        </w:rPr>
        <w:t xml:space="preserve">. </w:t>
      </w:r>
    </w:p>
    <w:p w14:paraId="2AC5D16A" w14:textId="0397FECB" w:rsidR="00CC74F0" w:rsidRDefault="00CC74F0" w:rsidP="002B4AD5">
      <w:pPr>
        <w:spacing w:before="240" w:line="360" w:lineRule="auto"/>
        <w:jc w:val="both"/>
        <w:rPr>
          <w:sz w:val="24"/>
          <w:szCs w:val="24"/>
        </w:rPr>
      </w:pPr>
      <w:r>
        <w:rPr>
          <w:sz w:val="24"/>
          <w:szCs w:val="24"/>
        </w:rPr>
        <w:t>A pesar de que esta escasez se observa desde hace décadas, en los últimos dos años se ha palpado más de cerca dada la altísima demanda de productos altamente tecnológicos, productos que coinciden con aquellas industrias que presentan un mayor valor añadido.</w:t>
      </w:r>
    </w:p>
    <w:p w14:paraId="791660CC" w14:textId="2B796771" w:rsidR="00CC74F0" w:rsidRPr="000A244D" w:rsidRDefault="00CC74F0" w:rsidP="002B4AD5">
      <w:pPr>
        <w:spacing w:before="240" w:line="360" w:lineRule="auto"/>
        <w:jc w:val="both"/>
        <w:rPr>
          <w:sz w:val="24"/>
          <w:szCs w:val="24"/>
        </w:rPr>
      </w:pPr>
      <w:r>
        <w:rPr>
          <w:sz w:val="24"/>
          <w:szCs w:val="24"/>
        </w:rPr>
        <w:t>Son numerosos los nombres que han apuntado a que el precio por uso de materias primas debería ser mucho más alto del que es, más allá de la inflación actual y que, a largo plazo, la solución a esta escasez pasa por un cambio de modelo económico que no se base en el uso de materias primas, sino en la llamada economía circular.</w:t>
      </w:r>
    </w:p>
    <w:p w14:paraId="3D3D503E" w14:textId="670A5C20" w:rsidR="002671C4" w:rsidRPr="00ED3FB5" w:rsidRDefault="002671C4" w:rsidP="002B4AD5">
      <w:pPr>
        <w:pStyle w:val="Prrafodelista"/>
        <w:numPr>
          <w:ilvl w:val="0"/>
          <w:numId w:val="7"/>
        </w:numPr>
        <w:spacing w:before="240" w:line="360" w:lineRule="auto"/>
        <w:jc w:val="both"/>
        <w:rPr>
          <w:sz w:val="24"/>
          <w:szCs w:val="24"/>
        </w:rPr>
      </w:pPr>
      <w:r w:rsidRPr="00ED3FB5">
        <w:rPr>
          <w:sz w:val="24"/>
          <w:szCs w:val="24"/>
        </w:rPr>
        <w:lastRenderedPageBreak/>
        <w:t>Perspectiva de la Indu</w:t>
      </w:r>
      <w:r w:rsidR="00ED3FB5" w:rsidRPr="00ED3FB5">
        <w:rPr>
          <w:sz w:val="24"/>
          <w:szCs w:val="24"/>
        </w:rPr>
        <w:t>stria automovilística en Europa</w:t>
      </w:r>
    </w:p>
    <w:p w14:paraId="75D86716" w14:textId="217899B0" w:rsidR="00AE0DA3" w:rsidRPr="006342E3" w:rsidRDefault="000563FB" w:rsidP="002B4AD5">
      <w:pPr>
        <w:spacing w:before="240" w:line="360" w:lineRule="auto"/>
        <w:jc w:val="both"/>
        <w:rPr>
          <w:sz w:val="24"/>
          <w:szCs w:val="24"/>
        </w:rPr>
      </w:pPr>
      <w:r w:rsidRPr="006342E3">
        <w:rPr>
          <w:sz w:val="24"/>
          <w:szCs w:val="24"/>
        </w:rPr>
        <w:t>Las cuestiones comentadas en los apartados anteriores afectan directa e irremediablemente</w:t>
      </w:r>
      <w:r w:rsidR="00071639" w:rsidRPr="006342E3">
        <w:rPr>
          <w:sz w:val="24"/>
          <w:szCs w:val="24"/>
        </w:rPr>
        <w:t xml:space="preserve"> a la industri</w:t>
      </w:r>
      <w:r w:rsidRPr="006342E3">
        <w:rPr>
          <w:sz w:val="24"/>
          <w:szCs w:val="24"/>
        </w:rPr>
        <w:t>a automovilística europea.</w:t>
      </w:r>
      <w:r w:rsidR="0061662B" w:rsidRPr="006342E3">
        <w:rPr>
          <w:sz w:val="24"/>
          <w:szCs w:val="24"/>
        </w:rPr>
        <w:t xml:space="preserve"> </w:t>
      </w:r>
      <w:r w:rsidRPr="006342E3">
        <w:rPr>
          <w:sz w:val="24"/>
          <w:szCs w:val="24"/>
        </w:rPr>
        <w:t xml:space="preserve">Existe un envejecimiento poblacional y una merma </w:t>
      </w:r>
      <w:r w:rsidR="00071639" w:rsidRPr="006342E3">
        <w:rPr>
          <w:sz w:val="24"/>
          <w:szCs w:val="24"/>
        </w:rPr>
        <w:t>de población europea demandante de turismo unipersonal</w:t>
      </w:r>
      <w:r w:rsidRPr="006342E3">
        <w:rPr>
          <w:sz w:val="24"/>
          <w:szCs w:val="24"/>
        </w:rPr>
        <w:t>. Las causas en la caída de la demanda responden al descenso de</w:t>
      </w:r>
      <w:r w:rsidR="00071639" w:rsidRPr="006342E3">
        <w:rPr>
          <w:sz w:val="24"/>
          <w:szCs w:val="24"/>
        </w:rPr>
        <w:t>l poder adquisitivo de los ciudadanos europeos</w:t>
      </w:r>
      <w:r w:rsidRPr="006342E3">
        <w:rPr>
          <w:sz w:val="24"/>
          <w:szCs w:val="24"/>
        </w:rPr>
        <w:t>, el aumento de c</w:t>
      </w:r>
      <w:r w:rsidR="00AE0DA3" w:rsidRPr="006342E3">
        <w:rPr>
          <w:sz w:val="24"/>
          <w:szCs w:val="24"/>
        </w:rPr>
        <w:t>ompetencia extranjera – nue</w:t>
      </w:r>
      <w:r w:rsidRPr="006342E3">
        <w:rPr>
          <w:sz w:val="24"/>
          <w:szCs w:val="24"/>
        </w:rPr>
        <w:t>vas marcas entran en el mercado</w:t>
      </w:r>
      <w:r w:rsidR="0061662B" w:rsidRPr="006342E3">
        <w:rPr>
          <w:sz w:val="24"/>
          <w:szCs w:val="24"/>
        </w:rPr>
        <w:t xml:space="preserve"> - las restricciones en grandes ciudades, la</w:t>
      </w:r>
      <w:r w:rsidRPr="006342E3">
        <w:rPr>
          <w:sz w:val="24"/>
          <w:szCs w:val="24"/>
        </w:rPr>
        <w:t xml:space="preserve"> inflación </w:t>
      </w:r>
      <w:r w:rsidR="00BE0629" w:rsidRPr="006342E3">
        <w:rPr>
          <w:sz w:val="24"/>
          <w:szCs w:val="24"/>
        </w:rPr>
        <w:t>y</w:t>
      </w:r>
      <w:r w:rsidR="0061662B" w:rsidRPr="006342E3">
        <w:rPr>
          <w:sz w:val="24"/>
          <w:szCs w:val="24"/>
        </w:rPr>
        <w:t xml:space="preserve"> el precio del combustible</w:t>
      </w:r>
      <w:r w:rsidRPr="006342E3">
        <w:rPr>
          <w:sz w:val="24"/>
          <w:szCs w:val="24"/>
        </w:rPr>
        <w:t>. Ante este escenario, y agravando la situación el precio de los vehículos se eleva</w:t>
      </w:r>
      <w:r w:rsidR="00FD3BCF" w:rsidRPr="006342E3">
        <w:rPr>
          <w:sz w:val="24"/>
          <w:szCs w:val="24"/>
        </w:rPr>
        <w:t xml:space="preserve"> </w:t>
      </w:r>
      <w:r w:rsidR="00AE0DA3" w:rsidRPr="006342E3">
        <w:rPr>
          <w:sz w:val="24"/>
          <w:szCs w:val="24"/>
        </w:rPr>
        <w:t>debido a los incrementos en costes derivados de la inflación</w:t>
      </w:r>
      <w:r w:rsidR="00BE0629" w:rsidRPr="006342E3">
        <w:rPr>
          <w:sz w:val="24"/>
          <w:szCs w:val="24"/>
        </w:rPr>
        <w:t xml:space="preserve"> y de los cortes en la cadena de suministro y transporte.</w:t>
      </w:r>
    </w:p>
    <w:p w14:paraId="290EBA5C" w14:textId="0DDE2041" w:rsidR="00071639" w:rsidRPr="006342E3" w:rsidRDefault="0061662B" w:rsidP="002B4AD5">
      <w:pPr>
        <w:spacing w:before="240" w:line="360" w:lineRule="auto"/>
        <w:jc w:val="both"/>
        <w:rPr>
          <w:sz w:val="24"/>
          <w:szCs w:val="24"/>
        </w:rPr>
      </w:pPr>
      <w:r w:rsidRPr="006342E3">
        <w:rPr>
          <w:sz w:val="24"/>
          <w:szCs w:val="24"/>
        </w:rPr>
        <w:t xml:space="preserve">A pesar de estas perspectivas poco halagüeñas, en este apartado también analizaremos qué tiene la industria automovilística a su favor, y es que, a pesar de todo lo anterior, y </w:t>
      </w:r>
      <w:r w:rsidR="0095290E" w:rsidRPr="006342E3">
        <w:rPr>
          <w:sz w:val="24"/>
          <w:szCs w:val="24"/>
        </w:rPr>
        <w:t>respecto</w:t>
      </w:r>
      <w:r w:rsidRPr="006342E3">
        <w:rPr>
          <w:sz w:val="24"/>
          <w:szCs w:val="24"/>
        </w:rPr>
        <w:t xml:space="preserve"> a la escasa oferta de automóviles, la demanda es muy elevada. El ahorro privado de las familias ha </w:t>
      </w:r>
      <w:r w:rsidR="0095290E" w:rsidRPr="006342E3">
        <w:rPr>
          <w:sz w:val="24"/>
          <w:szCs w:val="24"/>
        </w:rPr>
        <w:t>alcanzado tasas históricas y</w:t>
      </w:r>
      <w:r w:rsidRPr="006342E3">
        <w:rPr>
          <w:sz w:val="24"/>
          <w:szCs w:val="24"/>
        </w:rPr>
        <w:t xml:space="preserve"> prefiere ser invertido a ser ahorrado.</w:t>
      </w:r>
    </w:p>
    <w:p w14:paraId="743C41D9" w14:textId="4DBD8331" w:rsidR="002671C4" w:rsidRPr="00B234D8" w:rsidRDefault="002671C4" w:rsidP="002B4AD5">
      <w:pPr>
        <w:pStyle w:val="Prrafodelista"/>
        <w:numPr>
          <w:ilvl w:val="1"/>
          <w:numId w:val="7"/>
        </w:numPr>
        <w:spacing w:before="240" w:line="360" w:lineRule="auto"/>
        <w:jc w:val="both"/>
        <w:rPr>
          <w:sz w:val="24"/>
          <w:szCs w:val="24"/>
        </w:rPr>
      </w:pPr>
      <w:r w:rsidRPr="00B234D8">
        <w:rPr>
          <w:sz w:val="24"/>
          <w:szCs w:val="24"/>
        </w:rPr>
        <w:t>Semiconductores y el coche eléctrico</w:t>
      </w:r>
    </w:p>
    <w:p w14:paraId="3E084F23" w14:textId="158814B0" w:rsidR="006E536E" w:rsidRDefault="004A3F66" w:rsidP="002B4AD5">
      <w:pPr>
        <w:spacing w:before="240" w:line="360" w:lineRule="auto"/>
        <w:jc w:val="both"/>
        <w:rPr>
          <w:sz w:val="24"/>
          <w:szCs w:val="24"/>
        </w:rPr>
      </w:pPr>
      <w:r w:rsidRPr="006342E3">
        <w:rPr>
          <w:sz w:val="24"/>
          <w:szCs w:val="24"/>
        </w:rPr>
        <w:t xml:space="preserve">La escasez de </w:t>
      </w:r>
      <w:r w:rsidR="00AE1813" w:rsidRPr="006342E3">
        <w:rPr>
          <w:sz w:val="24"/>
          <w:szCs w:val="24"/>
        </w:rPr>
        <w:t>microchips</w:t>
      </w:r>
      <w:r w:rsidRPr="006342E3">
        <w:rPr>
          <w:sz w:val="24"/>
          <w:szCs w:val="24"/>
        </w:rPr>
        <w:t xml:space="preserve"> ha puesto en jaque a diversos sectores de la economía mundial, desde la automoción hasta los electrodomésticos, pasando por las videoconsolas. Pero para llegar a este punto de la ecuación, en necesario saber de qué</w:t>
      </w:r>
      <w:r w:rsidR="00ED3FB5">
        <w:rPr>
          <w:sz w:val="24"/>
          <w:szCs w:val="24"/>
        </w:rPr>
        <w:t xml:space="preserve"> </w:t>
      </w:r>
      <w:r w:rsidRPr="006342E3">
        <w:rPr>
          <w:sz w:val="24"/>
          <w:szCs w:val="24"/>
        </w:rPr>
        <w:t>trata este producto y por qué escasea tanto.</w:t>
      </w:r>
      <w:r w:rsidR="00ED3FB5">
        <w:rPr>
          <w:sz w:val="24"/>
          <w:szCs w:val="24"/>
        </w:rPr>
        <w:t xml:space="preserve"> </w:t>
      </w:r>
      <w:r w:rsidR="00AE1813" w:rsidRPr="006342E3">
        <w:rPr>
          <w:sz w:val="24"/>
          <w:szCs w:val="24"/>
        </w:rPr>
        <w:t>Los microchips se montan sobre materiales semiconductores</w:t>
      </w:r>
      <w:r w:rsidR="001D2792" w:rsidRPr="006342E3">
        <w:rPr>
          <w:sz w:val="24"/>
          <w:szCs w:val="24"/>
        </w:rPr>
        <w:t>.</w:t>
      </w:r>
    </w:p>
    <w:p w14:paraId="74F0C721" w14:textId="660ACF6D" w:rsidR="00AE1813" w:rsidRPr="006342E3" w:rsidRDefault="001D2792" w:rsidP="002B4AD5">
      <w:pPr>
        <w:spacing w:before="240" w:line="360" w:lineRule="auto"/>
        <w:jc w:val="both"/>
        <w:rPr>
          <w:sz w:val="24"/>
          <w:szCs w:val="24"/>
        </w:rPr>
      </w:pPr>
      <w:r w:rsidRPr="006342E3">
        <w:rPr>
          <w:sz w:val="24"/>
          <w:szCs w:val="24"/>
        </w:rPr>
        <w:t xml:space="preserve"> Los semiconductores, a diferencia de los conductores, pueden actuar como conductores, pero también como aislantes. El artilugio final </w:t>
      </w:r>
      <w:r w:rsidR="00AE1813" w:rsidRPr="006342E3">
        <w:rPr>
          <w:sz w:val="24"/>
          <w:szCs w:val="24"/>
        </w:rPr>
        <w:t xml:space="preserve">se utiliza </w:t>
      </w:r>
      <w:r w:rsidRPr="006342E3">
        <w:rPr>
          <w:sz w:val="24"/>
          <w:szCs w:val="24"/>
        </w:rPr>
        <w:t xml:space="preserve">en el sector del automóvil </w:t>
      </w:r>
      <w:r w:rsidR="00AE1813" w:rsidRPr="006342E3">
        <w:rPr>
          <w:sz w:val="24"/>
          <w:szCs w:val="24"/>
        </w:rPr>
        <w:t xml:space="preserve">tanto para la fabricación de eléctricos como </w:t>
      </w:r>
      <w:r w:rsidRPr="006342E3">
        <w:rPr>
          <w:sz w:val="24"/>
          <w:szCs w:val="24"/>
        </w:rPr>
        <w:t>de</w:t>
      </w:r>
      <w:r w:rsidR="00AE1813" w:rsidRPr="006342E3">
        <w:rPr>
          <w:sz w:val="24"/>
          <w:szCs w:val="24"/>
        </w:rPr>
        <w:t xml:space="preserve"> convencionales, debido a que aportan una mayor seguridad.</w:t>
      </w:r>
      <w:r w:rsidRPr="006342E3">
        <w:rPr>
          <w:sz w:val="24"/>
          <w:szCs w:val="24"/>
        </w:rPr>
        <w:t xml:space="preserve"> La materia prima que se</w:t>
      </w:r>
      <w:r w:rsidR="006E536E">
        <w:rPr>
          <w:sz w:val="24"/>
          <w:szCs w:val="24"/>
        </w:rPr>
        <w:t xml:space="preserve"> </w:t>
      </w:r>
      <w:r w:rsidRPr="006342E3">
        <w:rPr>
          <w:sz w:val="24"/>
          <w:szCs w:val="24"/>
        </w:rPr>
        <w:t xml:space="preserve">utiliza para </w:t>
      </w:r>
      <w:r w:rsidR="00EE2C26" w:rsidRPr="006342E3">
        <w:rPr>
          <w:sz w:val="24"/>
          <w:szCs w:val="24"/>
        </w:rPr>
        <w:t>su fabricación es mayormente el silicio, que se encuentra en mayores cantidades.</w:t>
      </w:r>
    </w:p>
    <w:p w14:paraId="474499CB" w14:textId="0369D7DB" w:rsidR="00AE1813" w:rsidRDefault="002C5C56" w:rsidP="002B4AD5">
      <w:pPr>
        <w:spacing w:before="240" w:line="360" w:lineRule="auto"/>
        <w:jc w:val="both"/>
        <w:rPr>
          <w:sz w:val="24"/>
          <w:szCs w:val="24"/>
        </w:rPr>
      </w:pPr>
      <w:r w:rsidRPr="006342E3">
        <w:rPr>
          <w:noProof/>
          <w:sz w:val="24"/>
          <w:szCs w:val="24"/>
          <w:lang w:eastAsia="es-ES"/>
        </w:rPr>
        <w:lastRenderedPageBreak/>
        <w:drawing>
          <wp:anchor distT="0" distB="0" distL="114300" distR="114300" simplePos="0" relativeHeight="251664384" behindDoc="1" locked="0" layoutInCell="1" allowOverlap="1" wp14:anchorId="41D3C26E" wp14:editId="6DCD8A74">
            <wp:simplePos x="0" y="0"/>
            <wp:positionH relativeFrom="margin">
              <wp:align>right</wp:align>
            </wp:positionH>
            <wp:positionV relativeFrom="paragraph">
              <wp:posOffset>306</wp:posOffset>
            </wp:positionV>
            <wp:extent cx="2771775" cy="2333625"/>
            <wp:effectExtent l="0" t="0" r="9525" b="9525"/>
            <wp:wrapTight wrapText="bothSides">
              <wp:wrapPolygon edited="0">
                <wp:start x="0" y="0"/>
                <wp:lineTo x="0" y="21512"/>
                <wp:lineTo x="21526" y="21512"/>
                <wp:lineTo x="21526" y="0"/>
                <wp:lineTo x="0" y="0"/>
              </wp:wrapPolygon>
            </wp:wrapTight>
            <wp:docPr id="5" name="Imagen 5" descr="Infografia_Semiconduc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ia_Semiconducto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1775" cy="2333625"/>
                    </a:xfrm>
                    <a:prstGeom prst="rect">
                      <a:avLst/>
                    </a:prstGeom>
                    <a:noFill/>
                    <a:ln>
                      <a:noFill/>
                    </a:ln>
                  </pic:spPr>
                </pic:pic>
              </a:graphicData>
            </a:graphic>
          </wp:anchor>
        </w:drawing>
      </w:r>
      <w:r w:rsidR="00AE1813" w:rsidRPr="006342E3">
        <w:rPr>
          <w:sz w:val="24"/>
          <w:szCs w:val="24"/>
        </w:rPr>
        <w:t>Sin embargo, como podemos observar en el gráfico de la derecha, de los sectores a los que pertenecen los 10 mayores fabricantes de semiconductores del mundo, ninguno es el automovilístico.</w:t>
      </w:r>
    </w:p>
    <w:p w14:paraId="1B0D5002" w14:textId="69EDBD0E" w:rsidR="00091D9D" w:rsidRDefault="00091D9D" w:rsidP="002B4AD5">
      <w:pPr>
        <w:spacing w:before="240" w:line="360" w:lineRule="auto"/>
        <w:jc w:val="both"/>
        <w:rPr>
          <w:sz w:val="24"/>
          <w:szCs w:val="24"/>
        </w:rPr>
      </w:pPr>
    </w:p>
    <w:p w14:paraId="607ABE8A" w14:textId="19452201" w:rsidR="002C5C56" w:rsidRDefault="002C5C56" w:rsidP="002B4AD5">
      <w:pPr>
        <w:spacing w:before="240" w:line="360" w:lineRule="auto"/>
        <w:jc w:val="both"/>
        <w:rPr>
          <w:sz w:val="24"/>
          <w:szCs w:val="24"/>
        </w:rPr>
      </w:pPr>
      <w:r w:rsidRPr="006342E3">
        <w:rPr>
          <w:noProof/>
          <w:sz w:val="24"/>
          <w:szCs w:val="24"/>
          <w:lang w:eastAsia="es-ES"/>
        </w:rPr>
        <mc:AlternateContent>
          <mc:Choice Requires="wps">
            <w:drawing>
              <wp:anchor distT="0" distB="0" distL="114300" distR="114300" simplePos="0" relativeHeight="251666432" behindDoc="1" locked="0" layoutInCell="1" allowOverlap="1" wp14:anchorId="7EBFABB4" wp14:editId="0C3649CC">
                <wp:simplePos x="0" y="0"/>
                <wp:positionH relativeFrom="margin">
                  <wp:align>right</wp:align>
                </wp:positionH>
                <wp:positionV relativeFrom="paragraph">
                  <wp:posOffset>149531</wp:posOffset>
                </wp:positionV>
                <wp:extent cx="2771775" cy="635"/>
                <wp:effectExtent l="0" t="0" r="9525" b="0"/>
                <wp:wrapTight wrapText="bothSides">
                  <wp:wrapPolygon edited="0">
                    <wp:start x="0" y="0"/>
                    <wp:lineTo x="0" y="20057"/>
                    <wp:lineTo x="21526" y="20057"/>
                    <wp:lineTo x="21526" y="0"/>
                    <wp:lineTo x="0" y="0"/>
                  </wp:wrapPolygon>
                </wp:wrapTight>
                <wp:docPr id="6" name="Cuadro de texto 6"/>
                <wp:cNvGraphicFramePr/>
                <a:graphic xmlns:a="http://schemas.openxmlformats.org/drawingml/2006/main">
                  <a:graphicData uri="http://schemas.microsoft.com/office/word/2010/wordprocessingShape">
                    <wps:wsp>
                      <wps:cNvSpPr txBox="1"/>
                      <wps:spPr>
                        <a:xfrm>
                          <a:off x="0" y="0"/>
                          <a:ext cx="2771775" cy="635"/>
                        </a:xfrm>
                        <a:prstGeom prst="rect">
                          <a:avLst/>
                        </a:prstGeom>
                        <a:solidFill>
                          <a:prstClr val="white"/>
                        </a:solidFill>
                        <a:ln>
                          <a:noFill/>
                        </a:ln>
                      </wps:spPr>
                      <wps:txbx>
                        <w:txbxContent>
                          <w:p w14:paraId="532066C1" w14:textId="58FE194A" w:rsidR="007E6B0B" w:rsidRPr="008B7673" w:rsidRDefault="007E6B0B" w:rsidP="007E6B0B">
                            <w:pPr>
                              <w:pStyle w:val="Descripcin"/>
                              <w:rPr>
                                <w:noProof/>
                              </w:rPr>
                            </w:pPr>
                            <w:r>
                              <w:rPr>
                                <w:noProof/>
                              </w:rPr>
                              <w:fldChar w:fldCharType="begin"/>
                            </w:r>
                            <w:r>
                              <w:rPr>
                                <w:noProof/>
                              </w:rPr>
                              <w:instrText xml:space="preserve"> SEQ Ilustración \* ARABIC </w:instrText>
                            </w:r>
                            <w:r>
                              <w:rPr>
                                <w:noProof/>
                              </w:rPr>
                              <w:fldChar w:fldCharType="separate"/>
                            </w:r>
                            <w:r>
                              <w:rPr>
                                <w:noProof/>
                              </w:rPr>
                              <w:t>3</w:t>
                            </w:r>
                            <w:r>
                              <w:rPr>
                                <w:noProof/>
                              </w:rPr>
                              <w:fldChar w:fldCharType="end"/>
                            </w:r>
                            <w:r>
                              <w:rPr>
                                <w:noProof/>
                              </w:rPr>
                              <w:t xml:space="preserve"> </w:t>
                            </w:r>
                            <w:r w:rsidRPr="001340CA">
                              <w:t>https://www.iberdrola.com/innovacion/semiconductores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EBFABB4" id="Cuadro de texto 6" o:spid="_x0000_s1028" type="#_x0000_t202" style="position:absolute;margin-left:167.05pt;margin-top:11.75pt;width:218.25pt;height:.05pt;z-index:-2516500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cMwIAAGsEAAAOAAAAZHJzL2Uyb0RvYy54bWysVMFu2zAMvQ/YPwi6L04yNBmMOEWWIsOA&#10;oC2QDj0rshwLkEWNUmJ3Xz9KttOt22nYRaZIitJ7j/TqtmsMuyj0GmzBZ5MpZ8pKKLU9Ffzb0+7D&#10;J858ELYUBqwq+Ivy/Hb9/t2qdbmaQw2mVMioiPV56wpeh+DyLPOyVo3wE3DKUrACbESgLZ6yEkVL&#10;1RuTzafTRdYClg5BKu/Je9cH+TrVryolw0NVeRWYKTi9LaQV03qMa7ZeifyEwtVaDs8Q//CKRmhL&#10;l15L3Ykg2Bn1H6UaLRE8VGEiocmgqrRUCQOhmU3foDnUwqmEhcjx7kqT/39l5f3lEZkuC77gzIqG&#10;JNqeRYnASsWC6gKwRSSpdT6n3IOj7NB9ho7EHv2enBF7V2ETv4SKUZzofrlSTJWYJOd8uZwtlzec&#10;SYotPt7EGtnrUYc+fFHQsGgUHEm/RKu47H3oU8eUeJMHo8udNiZuYmBrkF0Ead3WOqih+G9ZxsZc&#10;C/FUXzB6soivxxGt0B27RMp8xHiE8oWgI/Qd5J3cabpvL3x4FEgtQ2hpDMIDLZWBtuAwWJzVgD/+&#10;5o/5pCRFOWupBQvuv58FKs7MV0sax34dDRyN42jYc7MFQjqjAXMymXQAgxnNCqF5punYxFsoJKyk&#10;uwoeRnMb+kGg6ZJqs0lJ1JVOhL09OBlLj7w+dc8C3aBKbIt7GJtT5G/E6XOTPG5zDsR0Ui7y2rM4&#10;0E0dnbQfpi+OzK/7lPX6j1j/BAAA//8DAFBLAwQUAAYACAAAACEAietB+N0AAAAGAQAADwAAAGRy&#10;cy9kb3ducmV2LnhtbEyPMU/DMBCFdyT+g3VILIg6NCFCIU5VVTDAUjV0YXPjaxyIz1HstOHfc51g&#10;u3fv9N535Wp2vTjhGDpPCh4WCQikxpuOWgX7j9f7JxAhajK694QKfjDAqrq+KnVh/Jl2eKpjKziE&#10;QqEV2BiHQsrQWHQ6LPyAxN7Rj05HlmMrzajPHO56uUySXDrdETdYPeDGYvNdT07BNvvc2rvp+PK+&#10;ztLxbT9t8q+2Vur2Zl4/g4g4x79juOAzOlTMdPATmSB6BfxIVLBMH0Gwm6U5D4fLIgdZlfI/fvUL&#10;AAD//wMAUEsBAi0AFAAGAAgAAAAhALaDOJL+AAAA4QEAABMAAAAAAAAAAAAAAAAAAAAAAFtDb250&#10;ZW50X1R5cGVzXS54bWxQSwECLQAUAAYACAAAACEAOP0h/9YAAACUAQAACwAAAAAAAAAAAAAAAAAv&#10;AQAAX3JlbHMvLnJlbHNQSwECLQAUAAYACAAAACEA0JflnDMCAABrBAAADgAAAAAAAAAAAAAAAAAu&#10;AgAAZHJzL2Uyb0RvYy54bWxQSwECLQAUAAYACAAAACEAietB+N0AAAAGAQAADwAAAAAAAAAAAAAA&#10;AACNBAAAZHJzL2Rvd25yZXYueG1sUEsFBgAAAAAEAAQA8wAAAJcFAAAAAA==&#10;" stroked="f">
                <v:textbox style="mso-fit-shape-to-text:t" inset="0,0,0,0">
                  <w:txbxContent>
                    <w:p w14:paraId="532066C1" w14:textId="58FE194A" w:rsidR="007E6B0B" w:rsidRPr="008B7673" w:rsidRDefault="007E6B0B" w:rsidP="007E6B0B">
                      <w:pPr>
                        <w:pStyle w:val="Descripcin"/>
                        <w:rPr>
                          <w:noProof/>
                        </w:rPr>
                      </w:pPr>
                      <w:r>
                        <w:rPr>
                          <w:noProof/>
                        </w:rPr>
                        <w:fldChar w:fldCharType="begin"/>
                      </w:r>
                      <w:r>
                        <w:rPr>
                          <w:noProof/>
                        </w:rPr>
                        <w:instrText xml:space="preserve"> SEQ Ilustración \* ARABIC </w:instrText>
                      </w:r>
                      <w:r>
                        <w:rPr>
                          <w:noProof/>
                        </w:rPr>
                        <w:fldChar w:fldCharType="separate"/>
                      </w:r>
                      <w:r>
                        <w:rPr>
                          <w:noProof/>
                        </w:rPr>
                        <w:t>3</w:t>
                      </w:r>
                      <w:r>
                        <w:rPr>
                          <w:noProof/>
                        </w:rPr>
                        <w:fldChar w:fldCharType="end"/>
                      </w:r>
                      <w:r>
                        <w:rPr>
                          <w:noProof/>
                        </w:rPr>
                        <w:t xml:space="preserve"> </w:t>
                      </w:r>
                      <w:r w:rsidRPr="001340CA">
                        <w:t>https://www.iberdrola.com/innovacion/semiconductores</w:t>
                      </w:r>
                    </w:p>
                  </w:txbxContent>
                </v:textbox>
                <w10:wrap type="tight" anchorx="margin"/>
              </v:shape>
            </w:pict>
          </mc:Fallback>
        </mc:AlternateContent>
      </w:r>
    </w:p>
    <w:p w14:paraId="48D83E38" w14:textId="510DCB82" w:rsidR="00657CAA" w:rsidRDefault="002671C4" w:rsidP="002B4AD5">
      <w:pPr>
        <w:pStyle w:val="Prrafodelista"/>
        <w:numPr>
          <w:ilvl w:val="1"/>
          <w:numId w:val="7"/>
        </w:numPr>
        <w:spacing w:before="240" w:line="360" w:lineRule="auto"/>
        <w:jc w:val="both"/>
        <w:rPr>
          <w:sz w:val="24"/>
          <w:szCs w:val="24"/>
        </w:rPr>
      </w:pPr>
      <w:r w:rsidRPr="006342E3">
        <w:rPr>
          <w:sz w:val="24"/>
          <w:szCs w:val="24"/>
        </w:rPr>
        <w:t>SEAT</w:t>
      </w:r>
      <w:r w:rsidR="00417D3A" w:rsidRPr="006342E3">
        <w:rPr>
          <w:sz w:val="24"/>
          <w:szCs w:val="24"/>
        </w:rPr>
        <w:t xml:space="preserve"> y la electrificación</w:t>
      </w:r>
      <w:r w:rsidR="007E6B0B" w:rsidRPr="006342E3">
        <w:rPr>
          <w:sz w:val="24"/>
          <w:szCs w:val="24"/>
        </w:rPr>
        <w:t xml:space="preserve"> de sus coches</w:t>
      </w:r>
    </w:p>
    <w:p w14:paraId="242BBB3F" w14:textId="228420CE" w:rsidR="00657CAA" w:rsidRDefault="00657CAA" w:rsidP="002B4AD5">
      <w:pPr>
        <w:spacing w:before="240" w:line="360" w:lineRule="auto"/>
        <w:jc w:val="both"/>
        <w:rPr>
          <w:sz w:val="24"/>
          <w:szCs w:val="24"/>
        </w:rPr>
      </w:pPr>
      <w:r>
        <w:rPr>
          <w:sz w:val="24"/>
          <w:szCs w:val="24"/>
        </w:rPr>
        <w:t xml:space="preserve">A pesar de que el coche eléctrico parece un proyecto de la historia reciente, el coche eléctrico ya se ideó a finales del siglo XIX, </w:t>
      </w:r>
      <w:r w:rsidR="00770C15">
        <w:rPr>
          <w:sz w:val="24"/>
          <w:szCs w:val="24"/>
        </w:rPr>
        <w:t xml:space="preserve">con anterioridad a los vehículos de combustión. El hecho de que los motores de </w:t>
      </w:r>
      <w:r w:rsidR="00B506F5">
        <w:rPr>
          <w:sz w:val="24"/>
          <w:szCs w:val="24"/>
        </w:rPr>
        <w:t>combustión se desarrollaran mucho más rápido, que</w:t>
      </w:r>
      <w:r w:rsidR="00770C15">
        <w:rPr>
          <w:sz w:val="24"/>
          <w:szCs w:val="24"/>
        </w:rPr>
        <w:t xml:space="preserve"> fueran una opción más segura, el gusto por la vibración del motor, y el mayor alcance de velocidad dejaron el coche eléctrico relegado </w:t>
      </w:r>
      <w:r w:rsidR="00B506F5">
        <w:rPr>
          <w:sz w:val="24"/>
          <w:szCs w:val="24"/>
        </w:rPr>
        <w:t>frente a los de combustible. El concepto del coche eléctrico volvió a tomar impulso en los años 60 a raíz de los “</w:t>
      </w:r>
      <w:proofErr w:type="spellStart"/>
      <w:r w:rsidR="00B506F5">
        <w:rPr>
          <w:sz w:val="24"/>
          <w:szCs w:val="24"/>
        </w:rPr>
        <w:t>Clean</w:t>
      </w:r>
      <w:proofErr w:type="spellEnd"/>
      <w:r w:rsidR="00B506F5">
        <w:rPr>
          <w:sz w:val="24"/>
          <w:szCs w:val="24"/>
        </w:rPr>
        <w:t xml:space="preserve"> Air </w:t>
      </w:r>
      <w:proofErr w:type="spellStart"/>
      <w:r w:rsidR="00B506F5">
        <w:rPr>
          <w:sz w:val="24"/>
          <w:szCs w:val="24"/>
        </w:rPr>
        <w:t>Acts</w:t>
      </w:r>
      <w:proofErr w:type="spellEnd"/>
      <w:r w:rsidR="00B506F5">
        <w:rPr>
          <w:sz w:val="24"/>
          <w:szCs w:val="24"/>
        </w:rPr>
        <w:t>” en EEUU, considerados unos de los primeros pasos en la sensibilización hacia la ecología</w:t>
      </w:r>
      <w:r w:rsidR="00770C15">
        <w:rPr>
          <w:rStyle w:val="Refdenotaalpie"/>
          <w:sz w:val="24"/>
          <w:szCs w:val="24"/>
        </w:rPr>
        <w:footnoteReference w:id="5"/>
      </w:r>
      <w:r w:rsidR="00B506F5">
        <w:rPr>
          <w:sz w:val="24"/>
          <w:szCs w:val="24"/>
        </w:rPr>
        <w:t>.</w:t>
      </w:r>
    </w:p>
    <w:p w14:paraId="41EB5228" w14:textId="558AD4FE" w:rsidR="00B506F5" w:rsidRDefault="00B506F5" w:rsidP="002B4AD5">
      <w:pPr>
        <w:spacing w:before="240" w:line="360" w:lineRule="auto"/>
        <w:jc w:val="both"/>
        <w:rPr>
          <w:sz w:val="24"/>
          <w:szCs w:val="24"/>
        </w:rPr>
      </w:pPr>
      <w:r>
        <w:rPr>
          <w:sz w:val="24"/>
          <w:szCs w:val="24"/>
        </w:rPr>
        <w:t>A mediados de los 80 y de la mano de la segunda crisis d</w:t>
      </w:r>
      <w:r w:rsidR="005A4BF8">
        <w:rPr>
          <w:sz w:val="24"/>
          <w:szCs w:val="24"/>
        </w:rPr>
        <w:t>el pe</w:t>
      </w:r>
      <w:r w:rsidR="00A36584">
        <w:rPr>
          <w:sz w:val="24"/>
          <w:szCs w:val="24"/>
        </w:rPr>
        <w:t>tróleo, las baterías recobraron</w:t>
      </w:r>
      <w:r w:rsidR="005A4BF8">
        <w:rPr>
          <w:sz w:val="24"/>
          <w:szCs w:val="24"/>
        </w:rPr>
        <w:t xml:space="preserve"> popularidad y aparecieron bastantes fabricantes de vehículos eléctricos. En la IAA (Feria Internacional del Automóvil) de 1991, se presentaron los primeros modelos eléctricos de marcas como Mercedes, BMW Opel y Volkswagen, marca de la que cabe destacar su primer</w:t>
      </w:r>
      <w:r w:rsidR="00A36584">
        <w:rPr>
          <w:sz w:val="24"/>
          <w:szCs w:val="24"/>
        </w:rPr>
        <w:t xml:space="preserve"> modelo eléctrico Golf </w:t>
      </w:r>
      <w:proofErr w:type="spellStart"/>
      <w:r w:rsidR="00A36584">
        <w:rPr>
          <w:sz w:val="24"/>
          <w:szCs w:val="24"/>
        </w:rPr>
        <w:t>CitySTRO</w:t>
      </w:r>
      <w:r w:rsidR="005A4BF8">
        <w:rPr>
          <w:sz w:val="24"/>
          <w:szCs w:val="24"/>
        </w:rPr>
        <w:t>MER</w:t>
      </w:r>
      <w:proofErr w:type="spellEnd"/>
      <w:r w:rsidR="005A4BF8">
        <w:rPr>
          <w:sz w:val="24"/>
          <w:szCs w:val="24"/>
        </w:rPr>
        <w:t xml:space="preserve"> en 1992 en cooperación con Siemens (p. 14).</w:t>
      </w:r>
    </w:p>
    <w:p w14:paraId="5226F76A" w14:textId="2CBD016D" w:rsidR="00D76566" w:rsidRDefault="00A36584" w:rsidP="002B4AD5">
      <w:pPr>
        <w:spacing w:before="240" w:line="360" w:lineRule="auto"/>
        <w:jc w:val="both"/>
        <w:rPr>
          <w:sz w:val="24"/>
          <w:szCs w:val="24"/>
        </w:rPr>
      </w:pPr>
      <w:r>
        <w:rPr>
          <w:sz w:val="24"/>
          <w:szCs w:val="24"/>
        </w:rPr>
        <w:t>A partir de la mayor concienciación de la población del peligro del cambio climático y la contaminación, el alza del coche eléctrico se ha hecho patente</w:t>
      </w:r>
      <w:r w:rsidR="00764199">
        <w:rPr>
          <w:sz w:val="24"/>
          <w:szCs w:val="24"/>
        </w:rPr>
        <w:t xml:space="preserve">. Además de esto, es </w:t>
      </w:r>
      <w:r w:rsidR="00764199">
        <w:rPr>
          <w:sz w:val="24"/>
          <w:szCs w:val="24"/>
        </w:rPr>
        <w:lastRenderedPageBreak/>
        <w:t>eficiente en un 90% de su potencial, mientras que el coche de combustible lo es en un 37%</w:t>
      </w:r>
      <w:r w:rsidR="00764199">
        <w:rPr>
          <w:rStyle w:val="Refdenotaalpie"/>
          <w:sz w:val="24"/>
          <w:szCs w:val="24"/>
        </w:rPr>
        <w:footnoteReference w:id="6"/>
      </w:r>
      <w:r w:rsidR="00764199">
        <w:rPr>
          <w:sz w:val="24"/>
          <w:szCs w:val="24"/>
        </w:rPr>
        <w:t>.</w:t>
      </w:r>
    </w:p>
    <w:p w14:paraId="77A7C75C" w14:textId="469A415C" w:rsidR="002671C4" w:rsidRPr="00477B32" w:rsidRDefault="002671C4" w:rsidP="002B4AD5">
      <w:pPr>
        <w:pStyle w:val="Prrafodelista"/>
        <w:numPr>
          <w:ilvl w:val="2"/>
          <w:numId w:val="7"/>
        </w:numPr>
        <w:spacing w:before="240" w:line="360" w:lineRule="auto"/>
        <w:jc w:val="both"/>
        <w:rPr>
          <w:sz w:val="24"/>
          <w:szCs w:val="24"/>
        </w:rPr>
      </w:pPr>
      <w:r w:rsidRPr="00477B32">
        <w:rPr>
          <w:sz w:val="24"/>
          <w:szCs w:val="24"/>
        </w:rPr>
        <w:t>CUPRA y la fábrica de baterías</w:t>
      </w:r>
    </w:p>
    <w:p w14:paraId="587012C4" w14:textId="59CA072A" w:rsidR="00EE33E9" w:rsidRDefault="00417D3A" w:rsidP="002B4AD5">
      <w:pPr>
        <w:spacing w:before="240" w:line="360" w:lineRule="auto"/>
        <w:jc w:val="both"/>
        <w:rPr>
          <w:sz w:val="24"/>
          <w:szCs w:val="24"/>
        </w:rPr>
      </w:pPr>
      <w:r w:rsidRPr="006342E3">
        <w:rPr>
          <w:sz w:val="24"/>
          <w:szCs w:val="24"/>
        </w:rPr>
        <w:t>Tanto la Generalitat de Catalunya como el Gobierno de Aragón han propuesto superficies donde situar la próxima fábrica de baterías para SEAT y Volkswagen Navarra.</w:t>
      </w:r>
      <w:r w:rsidR="00CC19A7" w:rsidRPr="00CC19A7">
        <w:rPr>
          <w:sz w:val="24"/>
          <w:szCs w:val="24"/>
        </w:rPr>
        <w:t xml:space="preserve"> </w:t>
      </w:r>
      <w:r w:rsidR="00CC19A7">
        <w:rPr>
          <w:sz w:val="24"/>
          <w:szCs w:val="24"/>
        </w:rPr>
        <w:t xml:space="preserve">Además, la empresa ha creado un centro de desarrollo de baterías en su planta de </w:t>
      </w:r>
      <w:proofErr w:type="spellStart"/>
      <w:r w:rsidR="00CC19A7">
        <w:rPr>
          <w:sz w:val="24"/>
          <w:szCs w:val="24"/>
        </w:rPr>
        <w:t>Martorell</w:t>
      </w:r>
      <w:proofErr w:type="spellEnd"/>
      <w:r w:rsidR="00CC19A7">
        <w:rPr>
          <w:rStyle w:val="Refdenotaalpie"/>
          <w:sz w:val="24"/>
          <w:szCs w:val="24"/>
        </w:rPr>
        <w:footnoteReference w:id="7"/>
      </w:r>
      <w:r w:rsidR="00CC19A7">
        <w:rPr>
          <w:sz w:val="24"/>
          <w:szCs w:val="24"/>
        </w:rPr>
        <w:t>.</w:t>
      </w:r>
    </w:p>
    <w:p w14:paraId="1465BB9E" w14:textId="37C33FB7" w:rsidR="00CC19A7" w:rsidRPr="006342E3" w:rsidRDefault="00B234D8" w:rsidP="002B4AD5">
      <w:pPr>
        <w:spacing w:before="240" w:line="360" w:lineRule="auto"/>
        <w:jc w:val="both"/>
        <w:rPr>
          <w:sz w:val="24"/>
          <w:szCs w:val="24"/>
        </w:rPr>
      </w:pPr>
      <w:r>
        <w:rPr>
          <w:sz w:val="24"/>
          <w:szCs w:val="24"/>
        </w:rPr>
        <w:t xml:space="preserve">Hasta la fecha, el único automóvil eléctrico de la empresa ha sido presentado bajo la marca CUPRA, con el modelo </w:t>
      </w:r>
      <w:proofErr w:type="spellStart"/>
      <w:r>
        <w:rPr>
          <w:sz w:val="24"/>
          <w:szCs w:val="24"/>
        </w:rPr>
        <w:t>Born</w:t>
      </w:r>
      <w:proofErr w:type="spellEnd"/>
      <w:r>
        <w:rPr>
          <w:sz w:val="24"/>
          <w:szCs w:val="24"/>
        </w:rPr>
        <w:t>, en mayo de 2021</w:t>
      </w:r>
      <w:r w:rsidR="00093BF2">
        <w:rPr>
          <w:sz w:val="24"/>
          <w:szCs w:val="24"/>
        </w:rPr>
        <w:t xml:space="preserve">, y se esperan noticias de la misma marca bajo el modelo </w:t>
      </w:r>
      <w:proofErr w:type="spellStart"/>
      <w:r w:rsidR="00093BF2">
        <w:rPr>
          <w:sz w:val="24"/>
          <w:szCs w:val="24"/>
        </w:rPr>
        <w:t>Tavascan</w:t>
      </w:r>
      <w:proofErr w:type="spellEnd"/>
      <w:r w:rsidR="00093BF2">
        <w:rPr>
          <w:sz w:val="24"/>
          <w:szCs w:val="24"/>
        </w:rPr>
        <w:t>. Sin embargo, aún no ha sido presentado ningún modelo</w:t>
      </w:r>
      <w:r w:rsidR="00316EF6">
        <w:rPr>
          <w:sz w:val="24"/>
          <w:szCs w:val="24"/>
        </w:rPr>
        <w:t xml:space="preserve"> eléctrico</w:t>
      </w:r>
      <w:r w:rsidR="00093BF2">
        <w:rPr>
          <w:sz w:val="24"/>
          <w:szCs w:val="24"/>
        </w:rPr>
        <w:t xml:space="preserve"> de SEAT hasta previsiblemente, 2025.</w:t>
      </w:r>
      <w:r w:rsidR="00316EF6">
        <w:rPr>
          <w:sz w:val="24"/>
          <w:szCs w:val="24"/>
        </w:rPr>
        <w:t xml:space="preserve"> Hasta la fecha, existen versiones de híbrido para los modelos </w:t>
      </w:r>
      <w:proofErr w:type="spellStart"/>
      <w:r w:rsidR="00316EF6">
        <w:rPr>
          <w:sz w:val="24"/>
          <w:szCs w:val="24"/>
        </w:rPr>
        <w:t>Leon</w:t>
      </w:r>
      <w:proofErr w:type="spellEnd"/>
      <w:r w:rsidR="00316EF6">
        <w:rPr>
          <w:sz w:val="24"/>
          <w:szCs w:val="24"/>
        </w:rPr>
        <w:t xml:space="preserve"> y </w:t>
      </w:r>
      <w:proofErr w:type="spellStart"/>
      <w:r w:rsidR="00316EF6">
        <w:rPr>
          <w:sz w:val="24"/>
          <w:szCs w:val="24"/>
        </w:rPr>
        <w:t>Tarraco</w:t>
      </w:r>
      <w:proofErr w:type="spellEnd"/>
      <w:r w:rsidR="00316EF6">
        <w:rPr>
          <w:sz w:val="24"/>
          <w:szCs w:val="24"/>
        </w:rPr>
        <w:t xml:space="preserve"> (producido en Alemania), así como las motos y patinetes </w:t>
      </w:r>
      <w:proofErr w:type="spellStart"/>
      <w:r w:rsidR="00316EF6">
        <w:rPr>
          <w:sz w:val="24"/>
          <w:szCs w:val="24"/>
        </w:rPr>
        <w:t>Mó</w:t>
      </w:r>
      <w:proofErr w:type="spellEnd"/>
      <w:r w:rsidR="00316EF6">
        <w:rPr>
          <w:sz w:val="24"/>
          <w:szCs w:val="24"/>
        </w:rPr>
        <w:t xml:space="preserve"> del fabricante </w:t>
      </w:r>
      <w:proofErr w:type="spellStart"/>
      <w:r w:rsidR="00316EF6">
        <w:rPr>
          <w:sz w:val="24"/>
          <w:szCs w:val="24"/>
        </w:rPr>
        <w:t>Silence</w:t>
      </w:r>
      <w:proofErr w:type="spellEnd"/>
      <w:r w:rsidR="00316EF6">
        <w:rPr>
          <w:sz w:val="24"/>
          <w:szCs w:val="24"/>
        </w:rPr>
        <w:t>.</w:t>
      </w:r>
      <w:bookmarkStart w:id="0" w:name="_GoBack"/>
      <w:bookmarkEnd w:id="0"/>
    </w:p>
    <w:p w14:paraId="6BD74647" w14:textId="27E425CF" w:rsidR="00D76566" w:rsidRPr="00BA4BFB" w:rsidRDefault="00D76566" w:rsidP="002B4AD5">
      <w:pPr>
        <w:pStyle w:val="Prrafodelista"/>
        <w:numPr>
          <w:ilvl w:val="2"/>
          <w:numId w:val="7"/>
        </w:numPr>
        <w:spacing w:before="240" w:line="360" w:lineRule="auto"/>
        <w:jc w:val="both"/>
        <w:rPr>
          <w:sz w:val="24"/>
          <w:szCs w:val="24"/>
        </w:rPr>
      </w:pPr>
      <w:r w:rsidRPr="00BA4BFB">
        <w:rPr>
          <w:sz w:val="24"/>
          <w:szCs w:val="24"/>
        </w:rPr>
        <w:t>Ventas de automóviles SEAT eléctricos</w:t>
      </w:r>
      <w:r w:rsidR="00764199" w:rsidRPr="00BA4BFB">
        <w:rPr>
          <w:sz w:val="24"/>
          <w:szCs w:val="24"/>
        </w:rPr>
        <w:t xml:space="preserve"> y previsión futura</w:t>
      </w:r>
    </w:p>
    <w:p w14:paraId="52E2078C" w14:textId="77777777" w:rsidR="00447691" w:rsidRPr="00447691" w:rsidRDefault="00447691" w:rsidP="002B4AD5">
      <w:pPr>
        <w:spacing w:before="240" w:line="360" w:lineRule="auto"/>
        <w:jc w:val="both"/>
        <w:rPr>
          <w:sz w:val="24"/>
          <w:szCs w:val="24"/>
        </w:rPr>
      </w:pPr>
      <w:r w:rsidRPr="00447691">
        <w:rPr>
          <w:sz w:val="24"/>
          <w:szCs w:val="24"/>
        </w:rPr>
        <w:t>El Grupo Volkswagen, tanto como otras marcas europeas como Mercedes o Nissan, están experimentando caídas históricas de ventas y parones en las cadenas de montaje, debido a la crisis de suministro de semiconductores. En concreto, el descenso en las ventas de SEAT alcanzan el 2% en lo que va de año 2021</w:t>
      </w:r>
      <w:r w:rsidRPr="006342E3">
        <w:rPr>
          <w:rStyle w:val="Refdenotaalpie"/>
          <w:sz w:val="24"/>
          <w:szCs w:val="24"/>
        </w:rPr>
        <w:footnoteReference w:id="8"/>
      </w:r>
      <w:r w:rsidRPr="00447691">
        <w:rPr>
          <w:sz w:val="24"/>
          <w:szCs w:val="24"/>
        </w:rPr>
        <w:t>. La marca ha optado asimismo por prolongar el mecanismo social de los ERTES a sus trabajadores hasta abril de 2022.</w:t>
      </w:r>
    </w:p>
    <w:p w14:paraId="44486265" w14:textId="77777777" w:rsidR="00447691" w:rsidRPr="00447691" w:rsidRDefault="00447691" w:rsidP="002B4AD5">
      <w:pPr>
        <w:spacing w:before="240" w:line="360" w:lineRule="auto"/>
        <w:jc w:val="both"/>
        <w:rPr>
          <w:sz w:val="24"/>
          <w:szCs w:val="24"/>
        </w:rPr>
      </w:pPr>
      <w:r w:rsidRPr="00447691">
        <w:rPr>
          <w:sz w:val="24"/>
          <w:szCs w:val="24"/>
        </w:rPr>
        <w:t xml:space="preserve">La automovilística española se verá igualmente beneficiada por los PERTE (Proyectos Estratégicos para la Recuperación y Transformación Económica) impulsados por el Ministerio de Industria, Comercio y Turismo, así como. En Consejo de Ministros se </w:t>
      </w:r>
      <w:r w:rsidRPr="00447691">
        <w:rPr>
          <w:sz w:val="24"/>
          <w:szCs w:val="24"/>
        </w:rPr>
        <w:lastRenderedPageBreak/>
        <w:t xml:space="preserve">acordó el pasado 12 de julio de 2021 que el primer PERTE serviría para “el desarrollo de un ecosistema </w:t>
      </w:r>
      <w:r w:rsidRPr="00447691">
        <w:rPr>
          <w:bCs/>
          <w:sz w:val="24"/>
          <w:szCs w:val="24"/>
        </w:rPr>
        <w:t>para la fabricación del Vehículo Eléctrico y Conectado</w:t>
      </w:r>
      <w:r w:rsidRPr="00447691">
        <w:rPr>
          <w:sz w:val="24"/>
          <w:szCs w:val="24"/>
        </w:rPr>
        <w:t>”</w:t>
      </w:r>
      <w:r w:rsidRPr="006342E3">
        <w:rPr>
          <w:rStyle w:val="Refdenotaalpie"/>
          <w:sz w:val="24"/>
          <w:szCs w:val="24"/>
        </w:rPr>
        <w:footnoteReference w:id="9"/>
      </w:r>
      <w:r w:rsidRPr="00447691">
        <w:rPr>
          <w:sz w:val="24"/>
          <w:szCs w:val="24"/>
        </w:rPr>
        <w:t>.</w:t>
      </w:r>
    </w:p>
    <w:p w14:paraId="03AB08C8" w14:textId="2857A823" w:rsidR="00764199" w:rsidRPr="00764199" w:rsidRDefault="00764199" w:rsidP="002B4AD5">
      <w:pPr>
        <w:spacing w:before="240" w:line="360" w:lineRule="auto"/>
        <w:jc w:val="both"/>
        <w:rPr>
          <w:sz w:val="24"/>
          <w:szCs w:val="24"/>
        </w:rPr>
      </w:pPr>
      <w:r>
        <w:rPr>
          <w:sz w:val="24"/>
          <w:szCs w:val="24"/>
        </w:rPr>
        <w:t xml:space="preserve">En el apartado actual analizaremos </w:t>
      </w:r>
      <w:r w:rsidR="00F613C2">
        <w:rPr>
          <w:sz w:val="24"/>
          <w:szCs w:val="24"/>
        </w:rPr>
        <w:t>las</w:t>
      </w:r>
      <w:r>
        <w:rPr>
          <w:sz w:val="24"/>
          <w:szCs w:val="24"/>
        </w:rPr>
        <w:t xml:space="preserve"> ventas de las marcas SEAT y CUPRA y haremos uso de las herramientas de pronóstico que ofrece Microsoft Excel para representar el aná</w:t>
      </w:r>
      <w:r w:rsidR="00447691">
        <w:rPr>
          <w:sz w:val="24"/>
          <w:szCs w:val="24"/>
        </w:rPr>
        <w:t>lisis hasta el momento expuesto y utilizando bases de datos de la empresa que se obtendrán de SABI u otras fuentes disponibles.</w:t>
      </w:r>
    </w:p>
    <w:p w14:paraId="6DA15E7F" w14:textId="3B2D074C" w:rsidR="00447691" w:rsidRDefault="002671C4" w:rsidP="002B4AD5">
      <w:pPr>
        <w:pStyle w:val="Prrafodelista"/>
        <w:numPr>
          <w:ilvl w:val="0"/>
          <w:numId w:val="7"/>
        </w:numPr>
        <w:spacing w:before="240" w:line="360" w:lineRule="auto"/>
        <w:jc w:val="both"/>
        <w:rPr>
          <w:sz w:val="24"/>
          <w:szCs w:val="24"/>
        </w:rPr>
      </w:pPr>
      <w:r w:rsidRPr="006342E3">
        <w:rPr>
          <w:sz w:val="24"/>
          <w:szCs w:val="24"/>
        </w:rPr>
        <w:t>Conclusión</w:t>
      </w:r>
      <w:r w:rsidR="00447691">
        <w:rPr>
          <w:sz w:val="24"/>
          <w:szCs w:val="24"/>
        </w:rPr>
        <w:t xml:space="preserve"> y otras consideraciones</w:t>
      </w:r>
    </w:p>
    <w:sdt>
      <w:sdtPr>
        <w:rPr>
          <w:rFonts w:asciiTheme="minorHAnsi" w:eastAsiaTheme="minorHAnsi" w:hAnsiTheme="minorHAnsi" w:cstheme="minorBidi"/>
          <w:color w:val="auto"/>
          <w:sz w:val="22"/>
          <w:szCs w:val="22"/>
        </w:rPr>
        <w:id w:val="-1291897033"/>
        <w:docPartObj>
          <w:docPartGallery w:val="Bibliographies"/>
          <w:docPartUnique/>
        </w:docPartObj>
      </w:sdtPr>
      <w:sdtEndPr/>
      <w:sdtContent>
        <w:p w14:paraId="11A60245" w14:textId="440D51F9" w:rsidR="00091D9D" w:rsidRDefault="00091D9D" w:rsidP="002B4AD5">
          <w:pPr>
            <w:pStyle w:val="Ttulo1"/>
            <w:numPr>
              <w:ilvl w:val="0"/>
              <w:numId w:val="7"/>
            </w:numPr>
            <w:spacing w:line="360" w:lineRule="auto"/>
            <w:jc w:val="both"/>
            <w:rPr>
              <w:rFonts w:asciiTheme="minorHAnsi" w:hAnsiTheme="minorHAnsi" w:cstheme="minorHAnsi"/>
              <w:color w:val="auto"/>
              <w:sz w:val="24"/>
              <w:szCs w:val="24"/>
            </w:rPr>
          </w:pPr>
          <w:r w:rsidRPr="00026F18">
            <w:rPr>
              <w:rFonts w:asciiTheme="minorHAnsi" w:hAnsiTheme="minorHAnsi" w:cstheme="minorHAnsi"/>
              <w:color w:val="auto"/>
              <w:sz w:val="24"/>
              <w:szCs w:val="24"/>
            </w:rPr>
            <w:t>Bibliografía</w:t>
          </w:r>
        </w:p>
        <w:p w14:paraId="4FC76340" w14:textId="77777777" w:rsidR="00026F18" w:rsidRPr="00026F18" w:rsidRDefault="00026F18" w:rsidP="002B4AD5">
          <w:pPr>
            <w:spacing w:line="360" w:lineRule="auto"/>
            <w:jc w:val="both"/>
          </w:pPr>
        </w:p>
        <w:sdt>
          <w:sdtPr>
            <w:id w:val="111145805"/>
            <w:bibliography/>
          </w:sdtPr>
          <w:sdtEndPr/>
          <w:sdtContent>
            <w:p w14:paraId="3B832582" w14:textId="77777777" w:rsidR="00091D9D" w:rsidRDefault="00091D9D" w:rsidP="002B4AD5">
              <w:pPr>
                <w:pStyle w:val="Bibliografa"/>
                <w:spacing w:line="360" w:lineRule="auto"/>
                <w:ind w:left="720" w:hanging="720"/>
                <w:jc w:val="both"/>
                <w:rPr>
                  <w:noProof/>
                  <w:sz w:val="24"/>
                  <w:szCs w:val="24"/>
                </w:rPr>
              </w:pPr>
              <w:r>
                <w:fldChar w:fldCharType="begin"/>
              </w:r>
              <w:r>
                <w:instrText>BIBLIOGRAPHY</w:instrText>
              </w:r>
              <w:r>
                <w:fldChar w:fldCharType="separate"/>
              </w:r>
              <w:r>
                <w:rPr>
                  <w:noProof/>
                </w:rPr>
                <w:t xml:space="preserve">Blanco Moro, V., &amp; Nieves, V. (19 de 11 de 2021). Por qué no se cumplen todavía las tres 'leyes' de la inflación del BCE. </w:t>
              </w:r>
              <w:r>
                <w:rPr>
                  <w:i/>
                  <w:iCs/>
                  <w:noProof/>
                </w:rPr>
                <w:t>elEconomista</w:t>
              </w:r>
              <w:r>
                <w:rPr>
                  <w:noProof/>
                </w:rPr>
                <w:t>, pág. 1.</w:t>
              </w:r>
            </w:p>
            <w:p w14:paraId="3142CA0A" w14:textId="77777777" w:rsidR="00091D9D" w:rsidRDefault="00091D9D" w:rsidP="002B4AD5">
              <w:pPr>
                <w:pStyle w:val="Bibliografa"/>
                <w:spacing w:line="360" w:lineRule="auto"/>
                <w:ind w:left="720" w:hanging="720"/>
                <w:jc w:val="both"/>
                <w:rPr>
                  <w:noProof/>
                </w:rPr>
              </w:pPr>
              <w:r>
                <w:rPr>
                  <w:noProof/>
                </w:rPr>
                <w:t xml:space="preserve">Galán Fernández, C., Martín Martín, J., &amp; Torremocha López, M. (1989). </w:t>
              </w:r>
              <w:r>
                <w:rPr>
                  <w:i/>
                  <w:iCs/>
                  <w:noProof/>
                </w:rPr>
                <w:t>Hacia la Unión Europea.</w:t>
              </w:r>
              <w:r>
                <w:rPr>
                  <w:noProof/>
                </w:rPr>
                <w:t xml:space="preserve"> </w:t>
              </w:r>
            </w:p>
            <w:p w14:paraId="6A4DA4FE" w14:textId="77777777" w:rsidR="00091D9D" w:rsidRDefault="00091D9D" w:rsidP="002B4AD5">
              <w:pPr>
                <w:pStyle w:val="Bibliografa"/>
                <w:spacing w:line="360" w:lineRule="auto"/>
                <w:ind w:left="720" w:hanging="720"/>
                <w:jc w:val="both"/>
                <w:rPr>
                  <w:noProof/>
                </w:rPr>
              </w:pPr>
              <w:r>
                <w:rPr>
                  <w:noProof/>
                </w:rPr>
                <w:t xml:space="preserve">Hitiris, T., &amp; Vallés, J. (1999). </w:t>
              </w:r>
              <w:r>
                <w:rPr>
                  <w:i/>
                  <w:iCs/>
                  <w:noProof/>
                </w:rPr>
                <w:t>Economía de la Unión Europea.</w:t>
              </w:r>
              <w:r>
                <w:rPr>
                  <w:noProof/>
                </w:rPr>
                <w:t xml:space="preserve"> Madrid: Prentice Hall.</w:t>
              </w:r>
            </w:p>
            <w:p w14:paraId="3FBF896D" w14:textId="77777777" w:rsidR="00091D9D" w:rsidRDefault="00091D9D" w:rsidP="002B4AD5">
              <w:pPr>
                <w:pStyle w:val="Bibliografa"/>
                <w:spacing w:line="360" w:lineRule="auto"/>
                <w:ind w:left="720" w:hanging="720"/>
                <w:jc w:val="both"/>
                <w:rPr>
                  <w:noProof/>
                </w:rPr>
              </w:pPr>
              <w:r>
                <w:rPr>
                  <w:noProof/>
                </w:rPr>
                <w:t xml:space="preserve">Jiménez Nácher, B. (04 de 12 de 2021). El 'pinchazo' de Nissan y Seat pone en riesgo el 10% de la economía catalana. </w:t>
              </w:r>
              <w:r>
                <w:rPr>
                  <w:i/>
                  <w:iCs/>
                  <w:noProof/>
                </w:rPr>
                <w:t>La Información</w:t>
              </w:r>
              <w:r>
                <w:rPr>
                  <w:noProof/>
                </w:rPr>
                <w:t>, pág. 1.</w:t>
              </w:r>
            </w:p>
            <w:p w14:paraId="3207FCAE" w14:textId="77777777" w:rsidR="00091D9D" w:rsidRDefault="00091D9D" w:rsidP="002B4AD5">
              <w:pPr>
                <w:pStyle w:val="Bibliografa"/>
                <w:spacing w:line="360" w:lineRule="auto"/>
                <w:ind w:left="720" w:hanging="720"/>
                <w:jc w:val="both"/>
                <w:rPr>
                  <w:noProof/>
                </w:rPr>
              </w:pPr>
              <w:r>
                <w:rPr>
                  <w:noProof/>
                </w:rPr>
                <w:t xml:space="preserve">Kampker, A., &amp; Vallée, D. (2013). </w:t>
              </w:r>
              <w:r>
                <w:rPr>
                  <w:i/>
                  <w:iCs/>
                  <w:noProof/>
                </w:rPr>
                <w:t>Elektromobilität.</w:t>
              </w:r>
              <w:r>
                <w:rPr>
                  <w:noProof/>
                </w:rPr>
                <w:t xml:space="preserve"> Heidelberg: Springer Vieweg.</w:t>
              </w:r>
            </w:p>
            <w:p w14:paraId="77757021" w14:textId="77777777" w:rsidR="00091D9D" w:rsidRDefault="00091D9D" w:rsidP="002B4AD5">
              <w:pPr>
                <w:pStyle w:val="Bibliografa"/>
                <w:spacing w:line="360" w:lineRule="auto"/>
                <w:ind w:left="720" w:hanging="720"/>
                <w:jc w:val="both"/>
                <w:rPr>
                  <w:noProof/>
                </w:rPr>
              </w:pPr>
              <w:r>
                <w:rPr>
                  <w:noProof/>
                </w:rPr>
                <w:t xml:space="preserve">López, E. (15 de 12 de 2021). Seat avanza en su electrificación con un centro propio de desarrollo de baterías. </w:t>
              </w:r>
              <w:r>
                <w:rPr>
                  <w:i/>
                  <w:iCs/>
                  <w:noProof/>
                </w:rPr>
                <w:t>elEconomista</w:t>
              </w:r>
              <w:r>
                <w:rPr>
                  <w:noProof/>
                </w:rPr>
                <w:t>, pág. 1.</w:t>
              </w:r>
            </w:p>
            <w:p w14:paraId="6F5BA8C8" w14:textId="77777777" w:rsidR="00091D9D" w:rsidRDefault="00091D9D" w:rsidP="002B4AD5">
              <w:pPr>
                <w:pStyle w:val="Bibliografa"/>
                <w:spacing w:line="360" w:lineRule="auto"/>
                <w:ind w:left="720" w:hanging="720"/>
                <w:jc w:val="both"/>
                <w:rPr>
                  <w:noProof/>
                </w:rPr>
              </w:pPr>
              <w:r>
                <w:rPr>
                  <w:noProof/>
                </w:rPr>
                <w:t xml:space="preserve">M., P. (25 de 11 de 2021). La producción de automóviles en España cayó un 37,9% en octubre por la falta de chips. </w:t>
              </w:r>
              <w:r>
                <w:rPr>
                  <w:i/>
                  <w:iCs/>
                  <w:noProof/>
                </w:rPr>
                <w:t>El Confidencial</w:t>
              </w:r>
              <w:r>
                <w:rPr>
                  <w:noProof/>
                </w:rPr>
                <w:t>, pág. 1.</w:t>
              </w:r>
            </w:p>
            <w:p w14:paraId="2A66F82B" w14:textId="77777777" w:rsidR="00091D9D" w:rsidRDefault="00091D9D" w:rsidP="002B4AD5">
              <w:pPr>
                <w:pStyle w:val="Bibliografa"/>
                <w:spacing w:line="360" w:lineRule="auto"/>
                <w:ind w:left="720" w:hanging="720"/>
                <w:jc w:val="both"/>
                <w:rPr>
                  <w:noProof/>
                </w:rPr>
              </w:pPr>
              <w:r>
                <w:rPr>
                  <w:noProof/>
                </w:rPr>
                <w:t xml:space="preserve">Martínez, V. (14 de 01 de 2018). Llega la guerra de las 'electrolineras' por el control del millonario negocio de la movilidad. </w:t>
              </w:r>
              <w:r>
                <w:rPr>
                  <w:i/>
                  <w:iCs/>
                  <w:noProof/>
                </w:rPr>
                <w:t>El Mundo</w:t>
              </w:r>
              <w:r>
                <w:rPr>
                  <w:noProof/>
                </w:rPr>
                <w:t>, pág. 1.</w:t>
              </w:r>
            </w:p>
            <w:p w14:paraId="4B4B58AC" w14:textId="77777777" w:rsidR="00091D9D" w:rsidRDefault="00091D9D" w:rsidP="002B4AD5">
              <w:pPr>
                <w:pStyle w:val="Bibliografa"/>
                <w:spacing w:line="360" w:lineRule="auto"/>
                <w:ind w:left="720" w:hanging="720"/>
                <w:jc w:val="both"/>
                <w:rPr>
                  <w:noProof/>
                </w:rPr>
              </w:pPr>
              <w:r>
                <w:rPr>
                  <w:noProof/>
                </w:rPr>
                <w:t xml:space="preserve">Ministerio de Industria, Comercio y Turismo. (2021). </w:t>
              </w:r>
              <w:r>
                <w:rPr>
                  <w:i/>
                  <w:iCs/>
                  <w:noProof/>
                </w:rPr>
                <w:t>Mincotur.gob.es</w:t>
              </w:r>
              <w:r>
                <w:rPr>
                  <w:noProof/>
                </w:rPr>
                <w:t>. Obtenido de PERTE para el desarrollo del Vehículo Eléctrico y Conectado: https://www.mincotur.gob.es/es-es/recuperacion-transformacion-resiliencia/Paginas/perte.aspx</w:t>
              </w:r>
            </w:p>
            <w:p w14:paraId="24958A2A" w14:textId="77777777" w:rsidR="00091D9D" w:rsidRDefault="00091D9D" w:rsidP="002B4AD5">
              <w:pPr>
                <w:pStyle w:val="Bibliografa"/>
                <w:spacing w:line="360" w:lineRule="auto"/>
                <w:ind w:left="720" w:hanging="720"/>
                <w:jc w:val="both"/>
                <w:rPr>
                  <w:noProof/>
                </w:rPr>
              </w:pPr>
              <w:r>
                <w:rPr>
                  <w:noProof/>
                </w:rPr>
                <w:lastRenderedPageBreak/>
                <w:t xml:space="preserve">Orgaz, C. J. (09 de 11 de 2021). "La escasez que vivimos es solo un aviso de lo que vendrá si no conseguimos cambiar el modelo económico". </w:t>
              </w:r>
              <w:r>
                <w:rPr>
                  <w:i/>
                  <w:iCs/>
                  <w:noProof/>
                </w:rPr>
                <w:t>BBC</w:t>
              </w:r>
              <w:r>
                <w:rPr>
                  <w:noProof/>
                </w:rPr>
                <w:t>, pág. 1.</w:t>
              </w:r>
            </w:p>
            <w:p w14:paraId="22425F2C" w14:textId="3F53D502" w:rsidR="00091D9D" w:rsidRPr="00091D9D" w:rsidRDefault="00091D9D" w:rsidP="002B4AD5">
              <w:pPr>
                <w:spacing w:line="360" w:lineRule="auto"/>
                <w:jc w:val="both"/>
              </w:pPr>
              <w:r>
                <w:rPr>
                  <w:b/>
                  <w:bCs/>
                </w:rPr>
                <w:fldChar w:fldCharType="end"/>
              </w:r>
            </w:p>
          </w:sdtContent>
        </w:sdt>
      </w:sdtContent>
    </w:sdt>
    <w:p w14:paraId="407F71FB" w14:textId="7E39BC01" w:rsidR="002B0B29" w:rsidRDefault="002B0B29" w:rsidP="002B4AD5">
      <w:pPr>
        <w:spacing w:line="360" w:lineRule="auto"/>
        <w:jc w:val="both"/>
        <w:rPr>
          <w:sz w:val="24"/>
          <w:szCs w:val="24"/>
        </w:rPr>
      </w:pPr>
    </w:p>
    <w:p w14:paraId="0850B0FC" w14:textId="4219F4CE" w:rsidR="002B0B29" w:rsidRDefault="002B0B29" w:rsidP="002B4AD5">
      <w:pPr>
        <w:spacing w:line="360" w:lineRule="auto"/>
        <w:jc w:val="both"/>
        <w:rPr>
          <w:sz w:val="24"/>
          <w:szCs w:val="24"/>
        </w:rPr>
      </w:pPr>
    </w:p>
    <w:p w14:paraId="07EE7185" w14:textId="6C40AD99" w:rsidR="002B0B29" w:rsidRDefault="002B0B29" w:rsidP="002B4AD5">
      <w:pPr>
        <w:spacing w:line="360" w:lineRule="auto"/>
        <w:jc w:val="both"/>
        <w:rPr>
          <w:sz w:val="24"/>
          <w:szCs w:val="24"/>
        </w:rPr>
      </w:pPr>
      <w:r>
        <w:rPr>
          <w:sz w:val="24"/>
          <w:szCs w:val="24"/>
        </w:rPr>
        <w:t>Cronograma</w:t>
      </w:r>
    </w:p>
    <w:tbl>
      <w:tblPr>
        <w:tblStyle w:val="Tablaconcuadrcula"/>
        <w:tblW w:w="5000" w:type="pct"/>
        <w:tblInd w:w="0" w:type="dxa"/>
        <w:tblLook w:val="04A0" w:firstRow="1" w:lastRow="0" w:firstColumn="1" w:lastColumn="0" w:noHBand="0" w:noVBand="1"/>
      </w:tblPr>
      <w:tblGrid>
        <w:gridCol w:w="3681"/>
        <w:gridCol w:w="1135"/>
        <w:gridCol w:w="3678"/>
      </w:tblGrid>
      <w:tr w:rsidR="008F103E" w14:paraId="391308ED" w14:textId="77777777" w:rsidTr="00445893">
        <w:tc>
          <w:tcPr>
            <w:tcW w:w="2167" w:type="pct"/>
            <w:tcBorders>
              <w:top w:val="single" w:sz="4" w:space="0" w:color="auto"/>
              <w:left w:val="single" w:sz="4" w:space="0" w:color="auto"/>
              <w:right w:val="single" w:sz="4" w:space="0" w:color="auto"/>
            </w:tcBorders>
          </w:tcPr>
          <w:p w14:paraId="2A2EF98F" w14:textId="1930C562" w:rsidR="008F103E" w:rsidRPr="00782A9C" w:rsidRDefault="00782A9C" w:rsidP="002B4AD5">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Apartado</w:t>
            </w:r>
          </w:p>
        </w:tc>
        <w:tc>
          <w:tcPr>
            <w:tcW w:w="668" w:type="pct"/>
            <w:tcBorders>
              <w:top w:val="single" w:sz="4" w:space="0" w:color="auto"/>
              <w:left w:val="single" w:sz="4" w:space="0" w:color="auto"/>
              <w:bottom w:val="single" w:sz="4" w:space="0" w:color="auto"/>
              <w:right w:val="single" w:sz="4" w:space="0" w:color="auto"/>
            </w:tcBorders>
          </w:tcPr>
          <w:p w14:paraId="6728B392" w14:textId="77777777" w:rsidR="008F103E" w:rsidRDefault="008F103E" w:rsidP="002B4AD5">
            <w:pPr>
              <w:tabs>
                <w:tab w:val="left" w:pos="0"/>
                <w:tab w:val="left" w:pos="284"/>
              </w:tabs>
              <w:spacing w:line="360" w:lineRule="auto"/>
              <w:jc w:val="both"/>
              <w:rPr>
                <w:rFonts w:cs="Times New Roman"/>
                <w:sz w:val="24"/>
                <w:szCs w:val="24"/>
                <w:shd w:val="clear" w:color="auto" w:fill="FFFFFF"/>
              </w:rPr>
            </w:pPr>
          </w:p>
        </w:tc>
        <w:tc>
          <w:tcPr>
            <w:tcW w:w="2165" w:type="pct"/>
            <w:tcBorders>
              <w:top w:val="single" w:sz="4" w:space="0" w:color="auto"/>
              <w:left w:val="single" w:sz="4" w:space="0" w:color="auto"/>
              <w:bottom w:val="single" w:sz="4" w:space="0" w:color="auto"/>
              <w:right w:val="single" w:sz="4" w:space="0" w:color="auto"/>
            </w:tcBorders>
            <w:vAlign w:val="center"/>
          </w:tcPr>
          <w:p w14:paraId="1F7DD2F7" w14:textId="52B37FB3" w:rsidR="008F103E" w:rsidRPr="00782A9C" w:rsidRDefault="00782A9C" w:rsidP="00705511">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Fecha de finalización</w:t>
            </w:r>
          </w:p>
        </w:tc>
      </w:tr>
      <w:tr w:rsidR="00445893" w14:paraId="78B209E5" w14:textId="77777777" w:rsidTr="00445893">
        <w:tc>
          <w:tcPr>
            <w:tcW w:w="2167" w:type="pct"/>
            <w:vMerge w:val="restart"/>
            <w:tcBorders>
              <w:top w:val="single" w:sz="4" w:space="0" w:color="auto"/>
              <w:left w:val="single" w:sz="4" w:space="0" w:color="auto"/>
              <w:right w:val="single" w:sz="4" w:space="0" w:color="auto"/>
            </w:tcBorders>
          </w:tcPr>
          <w:p w14:paraId="7A152E0F" w14:textId="54EF8273" w:rsidR="008F103E" w:rsidRDefault="008F103E" w:rsidP="00445893">
            <w:pPr>
              <w:tabs>
                <w:tab w:val="left" w:pos="0"/>
                <w:tab w:val="left" w:pos="284"/>
              </w:tabs>
              <w:spacing w:line="360" w:lineRule="auto"/>
              <w:jc w:val="both"/>
              <w:rPr>
                <w:rFonts w:cs="Times New Roman"/>
                <w:sz w:val="24"/>
                <w:szCs w:val="24"/>
                <w:shd w:val="clear" w:color="auto" w:fill="FFFFFF"/>
              </w:rPr>
            </w:pPr>
            <w:r>
              <w:rPr>
                <w:rFonts w:cs="Times New Roman"/>
                <w:sz w:val="24"/>
                <w:szCs w:val="24"/>
                <w:shd w:val="clear" w:color="auto" w:fill="FFFFFF"/>
                <w:lang w:val="es-ES"/>
              </w:rPr>
              <w:t>Capítulo</w:t>
            </w:r>
            <w:r w:rsidR="00445893">
              <w:rPr>
                <w:rFonts w:cs="Times New Roman"/>
                <w:sz w:val="24"/>
                <w:szCs w:val="24"/>
                <w:shd w:val="clear" w:color="auto" w:fill="FFFFFF"/>
                <w:lang w:val="es-ES"/>
              </w:rPr>
              <w:t xml:space="preserve"> 2 (aprox. 30-40 págs.)</w:t>
            </w:r>
          </w:p>
        </w:tc>
        <w:tc>
          <w:tcPr>
            <w:tcW w:w="668" w:type="pct"/>
            <w:tcBorders>
              <w:top w:val="single" w:sz="4" w:space="0" w:color="auto"/>
              <w:left w:val="single" w:sz="4" w:space="0" w:color="auto"/>
              <w:bottom w:val="single" w:sz="4" w:space="0" w:color="auto"/>
              <w:right w:val="single" w:sz="4" w:space="0" w:color="auto"/>
            </w:tcBorders>
          </w:tcPr>
          <w:p w14:paraId="305ABF15" w14:textId="76DC4352" w:rsidR="008F103E" w:rsidRDefault="008F103E" w:rsidP="002B4AD5">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2.1</w:t>
            </w:r>
          </w:p>
        </w:tc>
        <w:tc>
          <w:tcPr>
            <w:tcW w:w="2165" w:type="pct"/>
            <w:tcBorders>
              <w:top w:val="single" w:sz="4" w:space="0" w:color="auto"/>
              <w:left w:val="single" w:sz="4" w:space="0" w:color="auto"/>
              <w:bottom w:val="single" w:sz="4" w:space="0" w:color="auto"/>
              <w:right w:val="single" w:sz="4" w:space="0" w:color="auto"/>
            </w:tcBorders>
            <w:vAlign w:val="center"/>
            <w:hideMark/>
          </w:tcPr>
          <w:p w14:paraId="4B5AE28D" w14:textId="32A111EF" w:rsidR="008F103E" w:rsidRDefault="00782A9C" w:rsidP="002B4AD5">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23/01</w:t>
            </w:r>
          </w:p>
        </w:tc>
      </w:tr>
      <w:tr w:rsidR="00445893" w14:paraId="39A12D20" w14:textId="77777777" w:rsidTr="00445893">
        <w:tc>
          <w:tcPr>
            <w:tcW w:w="2167" w:type="pct"/>
            <w:vMerge/>
            <w:tcBorders>
              <w:left w:val="single" w:sz="4" w:space="0" w:color="auto"/>
              <w:right w:val="single" w:sz="4" w:space="0" w:color="auto"/>
            </w:tcBorders>
          </w:tcPr>
          <w:p w14:paraId="45C905BC" w14:textId="77777777" w:rsidR="008F103E" w:rsidRPr="008F103E" w:rsidRDefault="008F103E" w:rsidP="002B4AD5">
            <w:pPr>
              <w:tabs>
                <w:tab w:val="left" w:pos="0"/>
                <w:tab w:val="left" w:pos="284"/>
              </w:tabs>
              <w:spacing w:line="360" w:lineRule="auto"/>
              <w:jc w:val="both"/>
              <w:rPr>
                <w:rFonts w:cs="Times New Roman"/>
                <w:sz w:val="24"/>
                <w:szCs w:val="24"/>
                <w:shd w:val="clear" w:color="auto" w:fill="FFFFFF"/>
                <w:lang w:val="es-ES"/>
              </w:rPr>
            </w:pPr>
          </w:p>
        </w:tc>
        <w:tc>
          <w:tcPr>
            <w:tcW w:w="668" w:type="pct"/>
            <w:tcBorders>
              <w:top w:val="single" w:sz="4" w:space="0" w:color="auto"/>
              <w:left w:val="single" w:sz="4" w:space="0" w:color="auto"/>
              <w:bottom w:val="single" w:sz="4" w:space="0" w:color="auto"/>
              <w:right w:val="single" w:sz="4" w:space="0" w:color="auto"/>
            </w:tcBorders>
            <w:vAlign w:val="center"/>
          </w:tcPr>
          <w:p w14:paraId="4BEDD364" w14:textId="593EB5B5" w:rsidR="008F103E" w:rsidRPr="008F103E" w:rsidRDefault="008F103E" w:rsidP="002B4AD5">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2.2</w:t>
            </w:r>
          </w:p>
        </w:tc>
        <w:tc>
          <w:tcPr>
            <w:tcW w:w="2165" w:type="pct"/>
            <w:tcBorders>
              <w:top w:val="single" w:sz="4" w:space="0" w:color="auto"/>
              <w:left w:val="single" w:sz="4" w:space="0" w:color="auto"/>
              <w:bottom w:val="single" w:sz="4" w:space="0" w:color="auto"/>
              <w:right w:val="single" w:sz="4" w:space="0" w:color="auto"/>
            </w:tcBorders>
            <w:vAlign w:val="center"/>
          </w:tcPr>
          <w:p w14:paraId="4188D6B1" w14:textId="65F0A17F" w:rsidR="008F103E" w:rsidRPr="008F103E" w:rsidRDefault="00782A9C" w:rsidP="002B4AD5">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30</w:t>
            </w:r>
            <w:r w:rsidR="00705511">
              <w:rPr>
                <w:rFonts w:cs="Times New Roman"/>
                <w:sz w:val="24"/>
                <w:szCs w:val="24"/>
                <w:shd w:val="clear" w:color="auto" w:fill="FFFFFF"/>
                <w:lang w:val="es-ES"/>
              </w:rPr>
              <w:t>/01</w:t>
            </w:r>
          </w:p>
        </w:tc>
      </w:tr>
      <w:tr w:rsidR="00445893" w14:paraId="3B312E28" w14:textId="77777777" w:rsidTr="00445893">
        <w:tc>
          <w:tcPr>
            <w:tcW w:w="2167" w:type="pct"/>
            <w:vMerge/>
            <w:tcBorders>
              <w:left w:val="single" w:sz="4" w:space="0" w:color="auto"/>
              <w:right w:val="single" w:sz="4" w:space="0" w:color="auto"/>
            </w:tcBorders>
            <w:hideMark/>
          </w:tcPr>
          <w:p w14:paraId="61328BC1" w14:textId="774D02E2" w:rsidR="008F103E" w:rsidRDefault="008F103E" w:rsidP="002B4AD5">
            <w:pPr>
              <w:tabs>
                <w:tab w:val="left" w:pos="0"/>
                <w:tab w:val="left" w:pos="284"/>
              </w:tabs>
              <w:spacing w:line="360" w:lineRule="auto"/>
              <w:jc w:val="both"/>
              <w:rPr>
                <w:rFonts w:cs="Times New Roman"/>
                <w:sz w:val="24"/>
                <w:szCs w:val="24"/>
                <w:shd w:val="clear" w:color="auto" w:fill="FFFFFF"/>
                <w:lang w:val="es-ES"/>
              </w:rPr>
            </w:pPr>
          </w:p>
        </w:tc>
        <w:tc>
          <w:tcPr>
            <w:tcW w:w="668" w:type="pct"/>
            <w:tcBorders>
              <w:top w:val="single" w:sz="4" w:space="0" w:color="auto"/>
              <w:left w:val="single" w:sz="4" w:space="0" w:color="auto"/>
              <w:bottom w:val="single" w:sz="4" w:space="0" w:color="auto"/>
              <w:right w:val="single" w:sz="4" w:space="0" w:color="auto"/>
            </w:tcBorders>
            <w:vAlign w:val="center"/>
            <w:hideMark/>
          </w:tcPr>
          <w:p w14:paraId="6B2844CD" w14:textId="735CC9A5" w:rsidR="008F103E" w:rsidRPr="008F103E" w:rsidRDefault="008F103E" w:rsidP="008F103E">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2.3</w:t>
            </w:r>
          </w:p>
        </w:tc>
        <w:tc>
          <w:tcPr>
            <w:tcW w:w="2165" w:type="pct"/>
            <w:tcBorders>
              <w:top w:val="single" w:sz="4" w:space="0" w:color="auto"/>
              <w:left w:val="single" w:sz="4" w:space="0" w:color="auto"/>
              <w:bottom w:val="single" w:sz="4" w:space="0" w:color="auto"/>
              <w:right w:val="single" w:sz="4" w:space="0" w:color="auto"/>
            </w:tcBorders>
            <w:vAlign w:val="center"/>
            <w:hideMark/>
          </w:tcPr>
          <w:p w14:paraId="225893F7" w14:textId="3BCAABD9" w:rsidR="008F103E" w:rsidRPr="008F103E" w:rsidRDefault="00782A9C" w:rsidP="008F103E">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06</w:t>
            </w:r>
            <w:r w:rsidR="008F103E">
              <w:rPr>
                <w:rFonts w:cs="Times New Roman"/>
                <w:sz w:val="24"/>
                <w:szCs w:val="24"/>
                <w:shd w:val="clear" w:color="auto" w:fill="FFFFFF"/>
                <w:lang w:val="es-ES"/>
              </w:rPr>
              <w:t>/02</w:t>
            </w:r>
          </w:p>
        </w:tc>
      </w:tr>
      <w:tr w:rsidR="00445893" w14:paraId="77E37ADC" w14:textId="77777777" w:rsidTr="00445893">
        <w:tc>
          <w:tcPr>
            <w:tcW w:w="2167" w:type="pct"/>
            <w:vMerge/>
            <w:tcBorders>
              <w:left w:val="single" w:sz="4" w:space="0" w:color="auto"/>
              <w:right w:val="single" w:sz="4" w:space="0" w:color="auto"/>
            </w:tcBorders>
          </w:tcPr>
          <w:p w14:paraId="53CCFF40" w14:textId="77777777" w:rsidR="008F103E" w:rsidRDefault="008F103E" w:rsidP="002B4AD5">
            <w:pPr>
              <w:tabs>
                <w:tab w:val="left" w:pos="0"/>
                <w:tab w:val="left" w:pos="284"/>
              </w:tabs>
              <w:spacing w:line="360" w:lineRule="auto"/>
              <w:jc w:val="both"/>
              <w:rPr>
                <w:rFonts w:cs="Times New Roman"/>
                <w:sz w:val="24"/>
                <w:szCs w:val="24"/>
                <w:shd w:val="clear" w:color="auto" w:fill="FFFFFF"/>
              </w:rPr>
            </w:pPr>
          </w:p>
        </w:tc>
        <w:tc>
          <w:tcPr>
            <w:tcW w:w="668" w:type="pct"/>
            <w:tcBorders>
              <w:top w:val="single" w:sz="4" w:space="0" w:color="auto"/>
              <w:left w:val="single" w:sz="4" w:space="0" w:color="auto"/>
              <w:bottom w:val="single" w:sz="4" w:space="0" w:color="auto"/>
              <w:right w:val="single" w:sz="4" w:space="0" w:color="auto"/>
            </w:tcBorders>
            <w:vAlign w:val="center"/>
          </w:tcPr>
          <w:p w14:paraId="7A691369" w14:textId="063DB5DD" w:rsidR="008F103E" w:rsidRPr="008F103E" w:rsidRDefault="008F103E" w:rsidP="008F103E">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2.4</w:t>
            </w:r>
          </w:p>
        </w:tc>
        <w:tc>
          <w:tcPr>
            <w:tcW w:w="2165" w:type="pct"/>
            <w:tcBorders>
              <w:top w:val="single" w:sz="4" w:space="0" w:color="auto"/>
              <w:left w:val="single" w:sz="4" w:space="0" w:color="auto"/>
              <w:bottom w:val="single" w:sz="4" w:space="0" w:color="auto"/>
              <w:right w:val="single" w:sz="4" w:space="0" w:color="auto"/>
            </w:tcBorders>
            <w:vAlign w:val="center"/>
          </w:tcPr>
          <w:p w14:paraId="311B1AE4" w14:textId="16436926" w:rsidR="008F103E" w:rsidRPr="008F103E" w:rsidRDefault="00782A9C" w:rsidP="002B4AD5">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13</w:t>
            </w:r>
            <w:r w:rsidR="008F103E">
              <w:rPr>
                <w:rFonts w:cs="Times New Roman"/>
                <w:sz w:val="24"/>
                <w:szCs w:val="24"/>
                <w:shd w:val="clear" w:color="auto" w:fill="FFFFFF"/>
                <w:lang w:val="es-ES"/>
              </w:rPr>
              <w:t>/02</w:t>
            </w:r>
          </w:p>
        </w:tc>
      </w:tr>
      <w:tr w:rsidR="00445893" w14:paraId="2C3EB5BD" w14:textId="77777777" w:rsidTr="00445893">
        <w:tc>
          <w:tcPr>
            <w:tcW w:w="2167" w:type="pct"/>
            <w:vMerge/>
            <w:tcBorders>
              <w:left w:val="single" w:sz="4" w:space="0" w:color="auto"/>
              <w:bottom w:val="single" w:sz="4" w:space="0" w:color="auto"/>
              <w:right w:val="single" w:sz="4" w:space="0" w:color="auto"/>
            </w:tcBorders>
          </w:tcPr>
          <w:p w14:paraId="44ECBEA6" w14:textId="77777777" w:rsidR="008F103E" w:rsidRDefault="008F103E" w:rsidP="002B4AD5">
            <w:pPr>
              <w:tabs>
                <w:tab w:val="left" w:pos="0"/>
                <w:tab w:val="left" w:pos="284"/>
              </w:tabs>
              <w:spacing w:line="360" w:lineRule="auto"/>
              <w:jc w:val="both"/>
              <w:rPr>
                <w:rFonts w:cs="Times New Roman"/>
                <w:sz w:val="24"/>
                <w:szCs w:val="24"/>
                <w:shd w:val="clear" w:color="auto" w:fill="FFFFFF"/>
              </w:rPr>
            </w:pPr>
          </w:p>
        </w:tc>
        <w:tc>
          <w:tcPr>
            <w:tcW w:w="668" w:type="pct"/>
            <w:tcBorders>
              <w:top w:val="single" w:sz="4" w:space="0" w:color="auto"/>
              <w:left w:val="single" w:sz="4" w:space="0" w:color="auto"/>
              <w:bottom w:val="single" w:sz="4" w:space="0" w:color="auto"/>
              <w:right w:val="single" w:sz="4" w:space="0" w:color="auto"/>
            </w:tcBorders>
            <w:vAlign w:val="center"/>
          </w:tcPr>
          <w:p w14:paraId="495AC3E4" w14:textId="67845642" w:rsidR="008F103E" w:rsidRPr="008F103E" w:rsidRDefault="008F103E" w:rsidP="008F103E">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2.5</w:t>
            </w:r>
          </w:p>
        </w:tc>
        <w:tc>
          <w:tcPr>
            <w:tcW w:w="2165" w:type="pct"/>
            <w:tcBorders>
              <w:top w:val="single" w:sz="4" w:space="0" w:color="auto"/>
              <w:left w:val="single" w:sz="4" w:space="0" w:color="auto"/>
              <w:bottom w:val="single" w:sz="4" w:space="0" w:color="auto"/>
              <w:right w:val="single" w:sz="4" w:space="0" w:color="auto"/>
            </w:tcBorders>
            <w:vAlign w:val="center"/>
          </w:tcPr>
          <w:p w14:paraId="083D219A" w14:textId="69F0FC3B" w:rsidR="008F103E" w:rsidRPr="00705511" w:rsidRDefault="008F103E" w:rsidP="00445893">
            <w:pPr>
              <w:tabs>
                <w:tab w:val="left" w:pos="0"/>
                <w:tab w:val="left" w:pos="284"/>
              </w:tabs>
              <w:spacing w:line="360" w:lineRule="auto"/>
              <w:jc w:val="both"/>
              <w:rPr>
                <w:rFonts w:cs="Times New Roman"/>
                <w:sz w:val="24"/>
                <w:szCs w:val="24"/>
                <w:shd w:val="clear" w:color="auto" w:fill="FFFFFF"/>
                <w:lang w:val="es-ES"/>
              </w:rPr>
            </w:pPr>
            <w:r w:rsidRPr="00782A9C">
              <w:rPr>
                <w:rFonts w:cs="Times New Roman"/>
                <w:sz w:val="24"/>
                <w:szCs w:val="24"/>
                <w:highlight w:val="yellow"/>
                <w:shd w:val="clear" w:color="auto" w:fill="FFFFFF"/>
                <w:lang w:val="es-ES"/>
              </w:rPr>
              <w:t>27</w:t>
            </w:r>
            <w:r w:rsidRPr="00782A9C">
              <w:rPr>
                <w:rFonts w:cs="Times New Roman"/>
                <w:sz w:val="24"/>
                <w:szCs w:val="24"/>
                <w:highlight w:val="yellow"/>
                <w:shd w:val="clear" w:color="auto" w:fill="FFFFFF"/>
              </w:rPr>
              <w:t>/02</w:t>
            </w:r>
            <w:r w:rsidR="00705511">
              <w:rPr>
                <w:rFonts w:cs="Times New Roman"/>
                <w:sz w:val="24"/>
                <w:szCs w:val="24"/>
                <w:shd w:val="clear" w:color="auto" w:fill="FFFFFF"/>
                <w:lang w:val="es-ES"/>
              </w:rPr>
              <w:t xml:space="preserve"> Entrega </w:t>
            </w:r>
          </w:p>
        </w:tc>
      </w:tr>
      <w:tr w:rsidR="00445893" w14:paraId="682CD14A" w14:textId="77777777" w:rsidTr="00445893">
        <w:tc>
          <w:tcPr>
            <w:tcW w:w="2167" w:type="pct"/>
            <w:vMerge w:val="restart"/>
            <w:tcBorders>
              <w:top w:val="single" w:sz="4" w:space="0" w:color="auto"/>
              <w:left w:val="single" w:sz="4" w:space="0" w:color="auto"/>
              <w:right w:val="single" w:sz="4" w:space="0" w:color="auto"/>
            </w:tcBorders>
          </w:tcPr>
          <w:p w14:paraId="32B3E6DB" w14:textId="579F1674" w:rsidR="00445893" w:rsidRPr="008F103E" w:rsidRDefault="008F103E" w:rsidP="00445893">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Capítulo 3</w:t>
            </w:r>
            <w:r w:rsidR="00445893">
              <w:rPr>
                <w:rFonts w:cs="Times New Roman"/>
                <w:sz w:val="24"/>
                <w:szCs w:val="24"/>
                <w:shd w:val="clear" w:color="auto" w:fill="FFFFFF"/>
                <w:lang w:val="es-ES"/>
              </w:rPr>
              <w:t xml:space="preserve"> (aprox. 30-40 págs.)</w:t>
            </w:r>
          </w:p>
        </w:tc>
        <w:tc>
          <w:tcPr>
            <w:tcW w:w="668" w:type="pct"/>
            <w:tcBorders>
              <w:top w:val="single" w:sz="4" w:space="0" w:color="auto"/>
              <w:left w:val="single" w:sz="4" w:space="0" w:color="auto"/>
              <w:bottom w:val="single" w:sz="4" w:space="0" w:color="auto"/>
              <w:right w:val="single" w:sz="4" w:space="0" w:color="auto"/>
            </w:tcBorders>
            <w:vAlign w:val="center"/>
          </w:tcPr>
          <w:p w14:paraId="3AAC1E93" w14:textId="497CEE23" w:rsidR="008F103E" w:rsidRPr="008F103E" w:rsidRDefault="008F103E" w:rsidP="008F103E">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3.1</w:t>
            </w:r>
          </w:p>
        </w:tc>
        <w:tc>
          <w:tcPr>
            <w:tcW w:w="2165" w:type="pct"/>
            <w:tcBorders>
              <w:top w:val="single" w:sz="4" w:space="0" w:color="auto"/>
              <w:left w:val="single" w:sz="4" w:space="0" w:color="auto"/>
              <w:bottom w:val="single" w:sz="4" w:space="0" w:color="auto"/>
              <w:right w:val="single" w:sz="4" w:space="0" w:color="auto"/>
            </w:tcBorders>
            <w:vAlign w:val="center"/>
          </w:tcPr>
          <w:p w14:paraId="6AEED9F7" w14:textId="4E84BC80" w:rsidR="008F103E" w:rsidRPr="00782A9C" w:rsidRDefault="00705511" w:rsidP="002B4AD5">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13</w:t>
            </w:r>
            <w:r w:rsidR="00782A9C">
              <w:rPr>
                <w:rFonts w:cs="Times New Roman"/>
                <w:sz w:val="24"/>
                <w:szCs w:val="24"/>
                <w:shd w:val="clear" w:color="auto" w:fill="FFFFFF"/>
                <w:lang w:val="es-ES"/>
              </w:rPr>
              <w:t>/03</w:t>
            </w:r>
          </w:p>
        </w:tc>
      </w:tr>
      <w:tr w:rsidR="00445893" w14:paraId="6BF54B9C" w14:textId="77777777" w:rsidTr="00445893">
        <w:tc>
          <w:tcPr>
            <w:tcW w:w="2167" w:type="pct"/>
            <w:vMerge/>
            <w:tcBorders>
              <w:left w:val="single" w:sz="4" w:space="0" w:color="auto"/>
              <w:bottom w:val="single" w:sz="4" w:space="0" w:color="auto"/>
              <w:right w:val="single" w:sz="4" w:space="0" w:color="auto"/>
            </w:tcBorders>
          </w:tcPr>
          <w:p w14:paraId="50637D14" w14:textId="77777777" w:rsidR="008F103E" w:rsidRDefault="008F103E" w:rsidP="002B4AD5">
            <w:pPr>
              <w:tabs>
                <w:tab w:val="left" w:pos="0"/>
                <w:tab w:val="left" w:pos="284"/>
              </w:tabs>
              <w:spacing w:line="360" w:lineRule="auto"/>
              <w:jc w:val="both"/>
              <w:rPr>
                <w:rFonts w:cs="Times New Roman"/>
                <w:sz w:val="24"/>
                <w:szCs w:val="24"/>
                <w:shd w:val="clear" w:color="auto" w:fill="FFFFFF"/>
              </w:rPr>
            </w:pPr>
          </w:p>
        </w:tc>
        <w:tc>
          <w:tcPr>
            <w:tcW w:w="668" w:type="pct"/>
            <w:tcBorders>
              <w:top w:val="single" w:sz="4" w:space="0" w:color="auto"/>
              <w:left w:val="single" w:sz="4" w:space="0" w:color="auto"/>
              <w:bottom w:val="single" w:sz="4" w:space="0" w:color="auto"/>
              <w:right w:val="single" w:sz="4" w:space="0" w:color="auto"/>
            </w:tcBorders>
            <w:vAlign w:val="center"/>
          </w:tcPr>
          <w:p w14:paraId="13C259B6" w14:textId="4FD98F27" w:rsidR="008F103E" w:rsidRPr="008F103E" w:rsidRDefault="008F103E" w:rsidP="008F103E">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3.2</w:t>
            </w:r>
          </w:p>
        </w:tc>
        <w:tc>
          <w:tcPr>
            <w:tcW w:w="2165" w:type="pct"/>
            <w:tcBorders>
              <w:top w:val="single" w:sz="4" w:space="0" w:color="auto"/>
              <w:left w:val="single" w:sz="4" w:space="0" w:color="auto"/>
              <w:bottom w:val="single" w:sz="4" w:space="0" w:color="auto"/>
              <w:right w:val="single" w:sz="4" w:space="0" w:color="auto"/>
            </w:tcBorders>
            <w:vAlign w:val="center"/>
          </w:tcPr>
          <w:p w14:paraId="28129545" w14:textId="5022F6D5" w:rsidR="008F103E" w:rsidRPr="00705511" w:rsidRDefault="00782A9C" w:rsidP="00445893">
            <w:pPr>
              <w:tabs>
                <w:tab w:val="left" w:pos="0"/>
                <w:tab w:val="left" w:pos="284"/>
              </w:tabs>
              <w:spacing w:line="360" w:lineRule="auto"/>
              <w:jc w:val="both"/>
              <w:rPr>
                <w:rFonts w:cs="Times New Roman"/>
                <w:sz w:val="24"/>
                <w:szCs w:val="24"/>
                <w:shd w:val="clear" w:color="auto" w:fill="FFFFFF"/>
                <w:lang w:val="es-ES"/>
              </w:rPr>
            </w:pPr>
            <w:r w:rsidRPr="00782A9C">
              <w:rPr>
                <w:rFonts w:cs="Times New Roman"/>
                <w:sz w:val="24"/>
                <w:szCs w:val="24"/>
                <w:highlight w:val="yellow"/>
                <w:shd w:val="clear" w:color="auto" w:fill="FFFFFF"/>
                <w:lang w:val="es-ES"/>
              </w:rPr>
              <w:t>24</w:t>
            </w:r>
            <w:r w:rsidR="008F103E" w:rsidRPr="00782A9C">
              <w:rPr>
                <w:rFonts w:cs="Times New Roman"/>
                <w:sz w:val="24"/>
                <w:szCs w:val="24"/>
                <w:highlight w:val="yellow"/>
                <w:shd w:val="clear" w:color="auto" w:fill="FFFFFF"/>
              </w:rPr>
              <w:t>/04</w:t>
            </w:r>
            <w:r w:rsidR="00705511">
              <w:rPr>
                <w:rFonts w:cs="Times New Roman"/>
                <w:sz w:val="24"/>
                <w:szCs w:val="24"/>
                <w:shd w:val="clear" w:color="auto" w:fill="FFFFFF"/>
                <w:lang w:val="es-ES"/>
              </w:rPr>
              <w:t xml:space="preserve"> Entrega</w:t>
            </w:r>
          </w:p>
        </w:tc>
      </w:tr>
      <w:tr w:rsidR="00445893" w14:paraId="036D6B1C" w14:textId="77777777" w:rsidTr="00445893">
        <w:tc>
          <w:tcPr>
            <w:tcW w:w="2167" w:type="pct"/>
            <w:tcBorders>
              <w:top w:val="single" w:sz="4" w:space="0" w:color="auto"/>
              <w:left w:val="single" w:sz="4" w:space="0" w:color="auto"/>
              <w:bottom w:val="single" w:sz="4" w:space="0" w:color="auto"/>
              <w:right w:val="single" w:sz="4" w:space="0" w:color="auto"/>
            </w:tcBorders>
          </w:tcPr>
          <w:p w14:paraId="4EA491F1" w14:textId="101D6B43" w:rsidR="00445893" w:rsidRPr="008F103E" w:rsidRDefault="008F103E" w:rsidP="00445893">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Conclusión</w:t>
            </w:r>
            <w:r w:rsidR="00445893">
              <w:rPr>
                <w:rFonts w:cs="Times New Roman"/>
                <w:sz w:val="24"/>
                <w:szCs w:val="24"/>
                <w:shd w:val="clear" w:color="auto" w:fill="FFFFFF"/>
                <w:lang w:val="es-ES"/>
              </w:rPr>
              <w:t xml:space="preserve"> (aprox. 5-10 págs.)</w:t>
            </w:r>
          </w:p>
        </w:tc>
        <w:tc>
          <w:tcPr>
            <w:tcW w:w="668" w:type="pct"/>
            <w:tcBorders>
              <w:top w:val="single" w:sz="4" w:space="0" w:color="auto"/>
              <w:left w:val="single" w:sz="4" w:space="0" w:color="auto"/>
              <w:bottom w:val="single" w:sz="4" w:space="0" w:color="auto"/>
              <w:right w:val="single" w:sz="4" w:space="0" w:color="auto"/>
            </w:tcBorders>
            <w:vAlign w:val="center"/>
          </w:tcPr>
          <w:p w14:paraId="1A7FB613" w14:textId="77777777" w:rsidR="008F103E" w:rsidRDefault="008F103E" w:rsidP="008F103E">
            <w:pPr>
              <w:tabs>
                <w:tab w:val="left" w:pos="0"/>
                <w:tab w:val="left" w:pos="284"/>
              </w:tabs>
              <w:spacing w:line="360" w:lineRule="auto"/>
              <w:jc w:val="both"/>
              <w:rPr>
                <w:rFonts w:cs="Times New Roman"/>
                <w:sz w:val="24"/>
                <w:szCs w:val="24"/>
                <w:shd w:val="clear" w:color="auto" w:fill="FFFFFF"/>
              </w:rPr>
            </w:pPr>
          </w:p>
        </w:tc>
        <w:tc>
          <w:tcPr>
            <w:tcW w:w="2165" w:type="pct"/>
            <w:tcBorders>
              <w:top w:val="single" w:sz="4" w:space="0" w:color="auto"/>
              <w:left w:val="single" w:sz="4" w:space="0" w:color="auto"/>
              <w:bottom w:val="single" w:sz="4" w:space="0" w:color="auto"/>
              <w:right w:val="single" w:sz="4" w:space="0" w:color="auto"/>
            </w:tcBorders>
            <w:vAlign w:val="center"/>
          </w:tcPr>
          <w:p w14:paraId="5296EF76" w14:textId="5B9E2144" w:rsidR="008F103E" w:rsidRDefault="00445893" w:rsidP="002B4AD5">
            <w:pPr>
              <w:tabs>
                <w:tab w:val="left" w:pos="0"/>
                <w:tab w:val="left" w:pos="284"/>
              </w:tabs>
              <w:spacing w:line="360" w:lineRule="auto"/>
              <w:jc w:val="both"/>
              <w:rPr>
                <w:rFonts w:cs="Times New Roman"/>
                <w:sz w:val="24"/>
                <w:szCs w:val="24"/>
                <w:shd w:val="clear" w:color="auto" w:fill="FFFFFF"/>
              </w:rPr>
            </w:pPr>
            <w:r>
              <w:rPr>
                <w:rFonts w:cs="Times New Roman"/>
                <w:sz w:val="24"/>
                <w:szCs w:val="24"/>
                <w:shd w:val="clear" w:color="auto" w:fill="FFFFFF"/>
                <w:lang w:val="es-ES"/>
              </w:rPr>
              <w:t>08</w:t>
            </w:r>
            <w:r w:rsidR="008F103E" w:rsidRPr="00782A9C">
              <w:rPr>
                <w:rFonts w:cs="Times New Roman"/>
                <w:sz w:val="24"/>
                <w:szCs w:val="24"/>
                <w:shd w:val="clear" w:color="auto" w:fill="FFFFFF"/>
              </w:rPr>
              <w:t>/05</w:t>
            </w:r>
          </w:p>
        </w:tc>
      </w:tr>
      <w:tr w:rsidR="00445893" w14:paraId="1228A441" w14:textId="77777777" w:rsidTr="00445893">
        <w:tc>
          <w:tcPr>
            <w:tcW w:w="2167" w:type="pct"/>
            <w:tcBorders>
              <w:top w:val="single" w:sz="4" w:space="0" w:color="auto"/>
              <w:left w:val="single" w:sz="4" w:space="0" w:color="auto"/>
              <w:bottom w:val="single" w:sz="4" w:space="0" w:color="auto"/>
              <w:right w:val="single" w:sz="4" w:space="0" w:color="auto"/>
            </w:tcBorders>
          </w:tcPr>
          <w:p w14:paraId="75F2709A" w14:textId="059DD381" w:rsidR="00445893" w:rsidRPr="008F103E" w:rsidRDefault="008F103E" w:rsidP="00445893">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shd w:val="clear" w:color="auto" w:fill="FFFFFF"/>
                <w:lang w:val="es-ES"/>
              </w:rPr>
              <w:t>Introducción</w:t>
            </w:r>
            <w:r w:rsidR="00445893">
              <w:rPr>
                <w:rFonts w:cs="Times New Roman"/>
                <w:sz w:val="24"/>
                <w:szCs w:val="24"/>
                <w:shd w:val="clear" w:color="auto" w:fill="FFFFFF"/>
                <w:lang w:val="es-ES"/>
              </w:rPr>
              <w:t xml:space="preserve"> (aprox. 5-10 págs.)</w:t>
            </w:r>
          </w:p>
        </w:tc>
        <w:tc>
          <w:tcPr>
            <w:tcW w:w="668" w:type="pct"/>
            <w:tcBorders>
              <w:top w:val="single" w:sz="4" w:space="0" w:color="auto"/>
              <w:left w:val="single" w:sz="4" w:space="0" w:color="auto"/>
              <w:bottom w:val="single" w:sz="4" w:space="0" w:color="auto"/>
              <w:right w:val="single" w:sz="4" w:space="0" w:color="auto"/>
            </w:tcBorders>
            <w:vAlign w:val="center"/>
          </w:tcPr>
          <w:p w14:paraId="70D6AE0B" w14:textId="77777777" w:rsidR="008F103E" w:rsidRDefault="008F103E" w:rsidP="008F103E">
            <w:pPr>
              <w:tabs>
                <w:tab w:val="left" w:pos="0"/>
                <w:tab w:val="left" w:pos="284"/>
              </w:tabs>
              <w:spacing w:line="360" w:lineRule="auto"/>
              <w:jc w:val="both"/>
              <w:rPr>
                <w:rFonts w:cs="Times New Roman"/>
                <w:sz w:val="24"/>
                <w:szCs w:val="24"/>
                <w:shd w:val="clear" w:color="auto" w:fill="FFFFFF"/>
              </w:rPr>
            </w:pPr>
          </w:p>
        </w:tc>
        <w:tc>
          <w:tcPr>
            <w:tcW w:w="2165" w:type="pct"/>
            <w:tcBorders>
              <w:top w:val="single" w:sz="4" w:space="0" w:color="auto"/>
              <w:left w:val="single" w:sz="4" w:space="0" w:color="auto"/>
              <w:bottom w:val="single" w:sz="4" w:space="0" w:color="auto"/>
              <w:right w:val="single" w:sz="4" w:space="0" w:color="auto"/>
            </w:tcBorders>
            <w:vAlign w:val="center"/>
          </w:tcPr>
          <w:p w14:paraId="316887A5" w14:textId="7080AD76" w:rsidR="008F103E" w:rsidRDefault="00445893" w:rsidP="002B4AD5">
            <w:pPr>
              <w:tabs>
                <w:tab w:val="left" w:pos="0"/>
                <w:tab w:val="left" w:pos="284"/>
              </w:tabs>
              <w:spacing w:line="360" w:lineRule="auto"/>
              <w:jc w:val="both"/>
              <w:rPr>
                <w:rFonts w:cs="Times New Roman"/>
                <w:sz w:val="24"/>
                <w:szCs w:val="24"/>
                <w:shd w:val="clear" w:color="auto" w:fill="FFFFFF"/>
              </w:rPr>
            </w:pPr>
            <w:r>
              <w:rPr>
                <w:rFonts w:cs="Times New Roman"/>
                <w:sz w:val="24"/>
                <w:szCs w:val="24"/>
                <w:shd w:val="clear" w:color="auto" w:fill="FFFFFF"/>
                <w:lang w:val="es-ES"/>
              </w:rPr>
              <w:t>22</w:t>
            </w:r>
            <w:r w:rsidR="008F103E">
              <w:rPr>
                <w:rFonts w:cs="Times New Roman"/>
                <w:sz w:val="24"/>
                <w:szCs w:val="24"/>
                <w:shd w:val="clear" w:color="auto" w:fill="FFFFFF"/>
                <w:lang w:val="es-ES"/>
              </w:rPr>
              <w:t>/05</w:t>
            </w:r>
          </w:p>
        </w:tc>
      </w:tr>
      <w:tr w:rsidR="00445893" w14:paraId="375B5BEA" w14:textId="77777777" w:rsidTr="00445893">
        <w:tc>
          <w:tcPr>
            <w:tcW w:w="2167" w:type="pct"/>
            <w:tcBorders>
              <w:top w:val="single" w:sz="4" w:space="0" w:color="auto"/>
              <w:left w:val="single" w:sz="4" w:space="0" w:color="auto"/>
              <w:bottom w:val="single" w:sz="4" w:space="0" w:color="auto"/>
              <w:right w:val="single" w:sz="4" w:space="0" w:color="auto"/>
            </w:tcBorders>
          </w:tcPr>
          <w:p w14:paraId="2B776E4A" w14:textId="6805E1D6" w:rsidR="008F103E" w:rsidRDefault="008F103E" w:rsidP="002B4AD5">
            <w:pPr>
              <w:tabs>
                <w:tab w:val="left" w:pos="0"/>
                <w:tab w:val="left" w:pos="284"/>
              </w:tabs>
              <w:spacing w:line="360" w:lineRule="auto"/>
              <w:jc w:val="both"/>
              <w:rPr>
                <w:rFonts w:cs="Times New Roman"/>
                <w:sz w:val="24"/>
                <w:szCs w:val="24"/>
                <w:shd w:val="clear" w:color="auto" w:fill="FFFFFF"/>
              </w:rPr>
            </w:pPr>
            <w:r>
              <w:rPr>
                <w:rFonts w:cs="Times New Roman"/>
                <w:sz w:val="24"/>
                <w:szCs w:val="24"/>
                <w:shd w:val="clear" w:color="auto" w:fill="FFFFFF"/>
                <w:lang w:val="es-ES"/>
              </w:rPr>
              <w:t>Entrega</w:t>
            </w:r>
            <w:r w:rsidR="00782A9C">
              <w:rPr>
                <w:rFonts w:cs="Times New Roman"/>
                <w:sz w:val="24"/>
                <w:szCs w:val="24"/>
                <w:shd w:val="clear" w:color="auto" w:fill="FFFFFF"/>
                <w:lang w:val="es-ES"/>
              </w:rPr>
              <w:t xml:space="preserve"> final</w:t>
            </w:r>
          </w:p>
        </w:tc>
        <w:tc>
          <w:tcPr>
            <w:tcW w:w="668" w:type="pct"/>
            <w:tcBorders>
              <w:top w:val="single" w:sz="4" w:space="0" w:color="auto"/>
              <w:left w:val="single" w:sz="4" w:space="0" w:color="auto"/>
              <w:bottom w:val="single" w:sz="4" w:space="0" w:color="auto"/>
              <w:right w:val="single" w:sz="4" w:space="0" w:color="auto"/>
            </w:tcBorders>
            <w:vAlign w:val="center"/>
          </w:tcPr>
          <w:p w14:paraId="1FCEDE2F" w14:textId="77777777" w:rsidR="008F103E" w:rsidRDefault="008F103E" w:rsidP="008F103E">
            <w:pPr>
              <w:tabs>
                <w:tab w:val="left" w:pos="0"/>
                <w:tab w:val="left" w:pos="284"/>
              </w:tabs>
              <w:spacing w:line="360" w:lineRule="auto"/>
              <w:jc w:val="both"/>
              <w:rPr>
                <w:rFonts w:cs="Times New Roman"/>
                <w:sz w:val="24"/>
                <w:szCs w:val="24"/>
                <w:shd w:val="clear" w:color="auto" w:fill="FFFFFF"/>
              </w:rPr>
            </w:pPr>
          </w:p>
        </w:tc>
        <w:tc>
          <w:tcPr>
            <w:tcW w:w="2165" w:type="pct"/>
            <w:tcBorders>
              <w:top w:val="single" w:sz="4" w:space="0" w:color="auto"/>
              <w:left w:val="single" w:sz="4" w:space="0" w:color="auto"/>
              <w:bottom w:val="single" w:sz="4" w:space="0" w:color="auto"/>
              <w:right w:val="single" w:sz="4" w:space="0" w:color="auto"/>
            </w:tcBorders>
            <w:vAlign w:val="center"/>
          </w:tcPr>
          <w:p w14:paraId="4DEA7A1C" w14:textId="0DFCCA52" w:rsidR="008F103E" w:rsidRPr="00705511" w:rsidRDefault="00445893" w:rsidP="00445893">
            <w:pPr>
              <w:tabs>
                <w:tab w:val="left" w:pos="0"/>
                <w:tab w:val="left" w:pos="284"/>
              </w:tabs>
              <w:spacing w:line="360" w:lineRule="auto"/>
              <w:jc w:val="both"/>
              <w:rPr>
                <w:rFonts w:cs="Times New Roman"/>
                <w:sz w:val="24"/>
                <w:szCs w:val="24"/>
                <w:shd w:val="clear" w:color="auto" w:fill="FFFFFF"/>
                <w:lang w:val="es-ES"/>
              </w:rPr>
            </w:pPr>
            <w:r>
              <w:rPr>
                <w:rFonts w:cs="Times New Roman"/>
                <w:sz w:val="24"/>
                <w:szCs w:val="24"/>
                <w:highlight w:val="yellow"/>
                <w:shd w:val="clear" w:color="auto" w:fill="FFFFFF"/>
              </w:rPr>
              <w:t>05</w:t>
            </w:r>
            <w:r w:rsidR="008F103E" w:rsidRPr="00782A9C">
              <w:rPr>
                <w:rFonts w:cs="Times New Roman"/>
                <w:sz w:val="24"/>
                <w:szCs w:val="24"/>
                <w:highlight w:val="yellow"/>
                <w:shd w:val="clear" w:color="auto" w:fill="FFFFFF"/>
              </w:rPr>
              <w:t>/06</w:t>
            </w:r>
            <w:r w:rsidR="00705511">
              <w:rPr>
                <w:rFonts w:cs="Times New Roman"/>
                <w:sz w:val="24"/>
                <w:szCs w:val="24"/>
                <w:shd w:val="clear" w:color="auto" w:fill="FFFFFF"/>
                <w:lang w:val="es-ES"/>
              </w:rPr>
              <w:t xml:space="preserve"> </w:t>
            </w:r>
          </w:p>
        </w:tc>
      </w:tr>
    </w:tbl>
    <w:p w14:paraId="4F349AC9" w14:textId="79508CD1" w:rsidR="00091D9D" w:rsidRDefault="00091D9D" w:rsidP="00091D9D">
      <w:pPr>
        <w:spacing w:line="360" w:lineRule="auto"/>
      </w:pPr>
    </w:p>
    <w:p w14:paraId="22371DE0" w14:textId="3781CCCD" w:rsidR="00060236" w:rsidRDefault="00060236" w:rsidP="00091D9D">
      <w:pPr>
        <w:spacing w:line="360" w:lineRule="auto"/>
      </w:pPr>
    </w:p>
    <w:p w14:paraId="099AB7AE" w14:textId="77777777" w:rsidR="00060236" w:rsidRPr="00624A67" w:rsidRDefault="00060236" w:rsidP="00091D9D">
      <w:pPr>
        <w:spacing w:line="360" w:lineRule="auto"/>
      </w:pPr>
    </w:p>
    <w:sectPr w:rsidR="00060236" w:rsidRPr="00624A6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7267A" w14:textId="77777777" w:rsidR="007555B9" w:rsidRDefault="007555B9" w:rsidP="007E6B0B">
      <w:pPr>
        <w:spacing w:after="0" w:line="240" w:lineRule="auto"/>
      </w:pPr>
      <w:r>
        <w:separator/>
      </w:r>
    </w:p>
  </w:endnote>
  <w:endnote w:type="continuationSeparator" w:id="0">
    <w:p w14:paraId="05103C3E" w14:textId="77777777" w:rsidR="007555B9" w:rsidRDefault="007555B9" w:rsidP="007E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1C69E" w14:textId="77777777" w:rsidR="007555B9" w:rsidRDefault="007555B9" w:rsidP="007E6B0B">
      <w:pPr>
        <w:spacing w:after="0" w:line="240" w:lineRule="auto"/>
      </w:pPr>
      <w:r>
        <w:separator/>
      </w:r>
    </w:p>
  </w:footnote>
  <w:footnote w:type="continuationSeparator" w:id="0">
    <w:p w14:paraId="4EACE5B4" w14:textId="77777777" w:rsidR="007555B9" w:rsidRDefault="007555B9" w:rsidP="007E6B0B">
      <w:pPr>
        <w:spacing w:after="0" w:line="240" w:lineRule="auto"/>
      </w:pPr>
      <w:r>
        <w:continuationSeparator/>
      </w:r>
    </w:p>
  </w:footnote>
  <w:footnote w:id="1">
    <w:p w14:paraId="4237B336" w14:textId="2A72797D" w:rsidR="002B0B29" w:rsidRDefault="002B0B29">
      <w:pPr>
        <w:pStyle w:val="Textonotapie"/>
      </w:pPr>
      <w:r>
        <w:rPr>
          <w:rStyle w:val="Refdenotaalpie"/>
        </w:rPr>
        <w:footnoteRef/>
      </w:r>
      <w:hyperlink r:id="rId1" w:anchor="v=onepage&amp;q=union%20europea%20demografia&amp;f=false" w:history="1">
        <w:r w:rsidRPr="00B77AFF">
          <w:rPr>
            <w:rStyle w:val="Hipervnculo"/>
          </w:rPr>
          <w:t>https://books.google.es/books?id=WXg6DAAAQBAJ&amp;pg=PA85&amp;dq=union+europea+demografia&amp;hl=es&amp;sa=X&amp;ved=2ahUKEwjchI37lan0AhVV14UKHZAmAWoQuwV6BAgJEAk#v=onepage&amp;q=union%20europea%20demografia&amp;f=false</w:t>
        </w:r>
      </w:hyperlink>
      <w:r w:rsidRPr="002B0B29">
        <w:t xml:space="preserve"> </w:t>
      </w:r>
      <w:proofErr w:type="spellStart"/>
      <w:r w:rsidRPr="002B0B29">
        <w:t>pág</w:t>
      </w:r>
      <w:proofErr w:type="spellEnd"/>
      <w:r w:rsidRPr="002B0B29">
        <w:t xml:space="preserve"> 85.</w:t>
      </w:r>
    </w:p>
  </w:footnote>
  <w:footnote w:id="2">
    <w:p w14:paraId="0473820A" w14:textId="0F7902CE" w:rsidR="00ED3FB5" w:rsidRDefault="00ED3FB5">
      <w:pPr>
        <w:pStyle w:val="Textonotapie"/>
      </w:pPr>
      <w:r>
        <w:rPr>
          <w:rStyle w:val="Refdenotaalpie"/>
        </w:rPr>
        <w:footnoteRef/>
      </w:r>
      <w:r>
        <w:t xml:space="preserve"> </w:t>
      </w:r>
      <w:hyperlink r:id="rId2" w:history="1">
        <w:r w:rsidRPr="00ED3FB5">
          <w:rPr>
            <w:rStyle w:val="Hipervnculo"/>
          </w:rPr>
          <w:t>https://ec.europa.eu/environment/topics/circular-economy/first-circular-economy-action-plan_en</w:t>
        </w:r>
      </w:hyperlink>
    </w:p>
  </w:footnote>
  <w:footnote w:id="3">
    <w:p w14:paraId="64C3A3CD" w14:textId="5D6DAA88" w:rsidR="00EE2A79" w:rsidRDefault="00EE2A79">
      <w:pPr>
        <w:pStyle w:val="Textonotapie"/>
      </w:pPr>
      <w:r>
        <w:rPr>
          <w:rStyle w:val="Refdenotaalpie"/>
        </w:rPr>
        <w:footnoteRef/>
      </w:r>
      <w:r>
        <w:t xml:space="preserve"> </w:t>
      </w:r>
      <w:hyperlink r:id="rId3" w:anchor="v=onepage&amp;q=raw%20materials%20shortages&amp;f=false" w:history="1">
        <w:r w:rsidRPr="006F1EAC">
          <w:rPr>
            <w:rStyle w:val="Hipervnculo"/>
          </w:rPr>
          <w:t>https://books.google.es/books?id=REa2AAAAIAAJ&amp;pg=PA237&amp;dq=raw+materials+shortages&amp;hl=es&amp;sa=X&amp;ved=2ahUKEwiw-_Ljue_0AhUfCGMBHf5FAzkQ6AF6BAgCEAI#v=onepage&amp;q=raw%20materials%20shortages&amp;f=false</w:t>
        </w:r>
      </w:hyperlink>
    </w:p>
  </w:footnote>
  <w:footnote w:id="4">
    <w:p w14:paraId="45860894" w14:textId="73F37C44" w:rsidR="00CC74F0" w:rsidRPr="00EE2A79" w:rsidRDefault="00CC74F0">
      <w:pPr>
        <w:pStyle w:val="Textonotapie"/>
      </w:pPr>
      <w:r>
        <w:rPr>
          <w:rStyle w:val="Refdenotaalpie"/>
        </w:rPr>
        <w:footnoteRef/>
      </w:r>
      <w:r w:rsidRPr="00EE2A79">
        <w:t xml:space="preserve"> </w:t>
      </w:r>
      <w:hyperlink r:id="rId4" w:history="1">
        <w:r w:rsidRPr="00EE2A79">
          <w:rPr>
            <w:rStyle w:val="Hipervnculo"/>
          </w:rPr>
          <w:t>https://www.bbc.com/mundo/noticias-internacional-59082543</w:t>
        </w:r>
      </w:hyperlink>
    </w:p>
  </w:footnote>
  <w:footnote w:id="5">
    <w:p w14:paraId="0B3F2520" w14:textId="39CC8B32" w:rsidR="00770C15" w:rsidRPr="00F613C2" w:rsidRDefault="00770C15">
      <w:pPr>
        <w:pStyle w:val="Textonotapie"/>
        <w:rPr>
          <w:lang w:val="en-GB"/>
        </w:rPr>
      </w:pPr>
      <w:r>
        <w:rPr>
          <w:rStyle w:val="Refdenotaalpie"/>
        </w:rPr>
        <w:footnoteRef/>
      </w:r>
      <w:r w:rsidRPr="00770C15">
        <w:rPr>
          <w:lang w:val="en-GB"/>
        </w:rPr>
        <w:t xml:space="preserve"> </w:t>
      </w:r>
      <w:proofErr w:type="spellStart"/>
      <w:r w:rsidRPr="00770C15">
        <w:rPr>
          <w:lang w:val="en-GB"/>
        </w:rPr>
        <w:t>Elektromobilität</w:t>
      </w:r>
      <w:proofErr w:type="spellEnd"/>
      <w:r w:rsidRPr="00770C15">
        <w:rPr>
          <w:lang w:val="en-GB"/>
        </w:rPr>
        <w:t xml:space="preserve"> – </w:t>
      </w:r>
      <w:proofErr w:type="spellStart"/>
      <w:r w:rsidRPr="00770C15">
        <w:rPr>
          <w:lang w:val="en-GB"/>
        </w:rPr>
        <w:t>Grundlagen</w:t>
      </w:r>
      <w:proofErr w:type="spellEnd"/>
      <w:r w:rsidRPr="00770C15">
        <w:rPr>
          <w:lang w:val="en-GB"/>
        </w:rPr>
        <w:t xml:space="preserve"> </w:t>
      </w:r>
      <w:proofErr w:type="spellStart"/>
      <w:r w:rsidRPr="00770C15">
        <w:rPr>
          <w:lang w:val="en-GB"/>
        </w:rPr>
        <w:t>einer</w:t>
      </w:r>
      <w:proofErr w:type="spellEnd"/>
      <w:r w:rsidRPr="00770C15">
        <w:rPr>
          <w:lang w:val="en-GB"/>
        </w:rPr>
        <w:t xml:space="preserve"> </w:t>
      </w:r>
      <w:proofErr w:type="spellStart"/>
      <w:r w:rsidRPr="00770C15">
        <w:rPr>
          <w:lang w:val="en-GB"/>
        </w:rPr>
        <w:t>Zukunftstechnologie</w:t>
      </w:r>
      <w:proofErr w:type="spellEnd"/>
      <w:r w:rsidRPr="00770C15">
        <w:rPr>
          <w:lang w:val="en-GB"/>
        </w:rPr>
        <w:t xml:space="preserve"> (</w:t>
      </w:r>
      <w:proofErr w:type="spellStart"/>
      <w:r w:rsidRPr="00770C15">
        <w:rPr>
          <w:lang w:val="en-GB"/>
        </w:rPr>
        <w:t>Kampker</w:t>
      </w:r>
      <w:proofErr w:type="spellEnd"/>
      <w:r w:rsidRPr="00770C15">
        <w:rPr>
          <w:lang w:val="en-GB"/>
        </w:rPr>
        <w:t xml:space="preserve">, </w:t>
      </w:r>
      <w:proofErr w:type="spellStart"/>
      <w:r>
        <w:rPr>
          <w:lang w:val="en-GB"/>
        </w:rPr>
        <w:t>Achim</w:t>
      </w:r>
      <w:proofErr w:type="spellEnd"/>
      <w:r>
        <w:rPr>
          <w:lang w:val="en-GB"/>
        </w:rPr>
        <w:t xml:space="preserve">; </w:t>
      </w:r>
      <w:proofErr w:type="spellStart"/>
      <w:r>
        <w:rPr>
          <w:lang w:val="en-GB"/>
        </w:rPr>
        <w:t>Vallée</w:t>
      </w:r>
      <w:proofErr w:type="spellEnd"/>
      <w:r>
        <w:rPr>
          <w:lang w:val="en-GB"/>
        </w:rPr>
        <w:t xml:space="preserve">, Dirk). </w:t>
      </w:r>
      <w:proofErr w:type="spellStart"/>
      <w:r w:rsidRPr="00F613C2">
        <w:rPr>
          <w:lang w:val="en-GB"/>
        </w:rPr>
        <w:t>Pág</w:t>
      </w:r>
      <w:r w:rsidR="00B506F5" w:rsidRPr="00F613C2">
        <w:rPr>
          <w:lang w:val="en-GB"/>
        </w:rPr>
        <w:t>s</w:t>
      </w:r>
      <w:proofErr w:type="spellEnd"/>
      <w:r w:rsidRPr="00F613C2">
        <w:rPr>
          <w:lang w:val="en-GB"/>
        </w:rPr>
        <w:t xml:space="preserve"> </w:t>
      </w:r>
      <w:r w:rsidR="005A4BF8" w:rsidRPr="00F613C2">
        <w:rPr>
          <w:lang w:val="en-GB"/>
        </w:rPr>
        <w:t>6-10</w:t>
      </w:r>
    </w:p>
  </w:footnote>
  <w:footnote w:id="6">
    <w:p w14:paraId="3AA7F9BA" w14:textId="634D243A" w:rsidR="00764199" w:rsidRPr="00447691" w:rsidRDefault="00764199">
      <w:pPr>
        <w:pStyle w:val="Textonotapie"/>
        <w:rPr>
          <w:lang w:val="en-GB"/>
        </w:rPr>
      </w:pPr>
      <w:r>
        <w:rPr>
          <w:rStyle w:val="Refdenotaalpie"/>
        </w:rPr>
        <w:footnoteRef/>
      </w:r>
      <w:r w:rsidRPr="00764199">
        <w:rPr>
          <w:lang w:val="en-GB"/>
        </w:rPr>
        <w:t xml:space="preserve"> Sperling, Daniel; Gordon, Deborah (2009). Two billion cars: driving toward sustainabil</w:t>
      </w:r>
      <w:r>
        <w:rPr>
          <w:lang w:val="en-GB"/>
        </w:rPr>
        <w:t>ity. Oxford University Press. p</w:t>
      </w:r>
      <w:r w:rsidRPr="00764199">
        <w:rPr>
          <w:lang w:val="en-GB"/>
        </w:rPr>
        <w:t>. 22</w:t>
      </w:r>
    </w:p>
  </w:footnote>
  <w:footnote w:id="7">
    <w:p w14:paraId="640DA0BE" w14:textId="28D77537" w:rsidR="00CC19A7" w:rsidRPr="00447691" w:rsidRDefault="00CC19A7">
      <w:pPr>
        <w:pStyle w:val="Textonotapie"/>
        <w:rPr>
          <w:lang w:val="en-GB"/>
        </w:rPr>
      </w:pPr>
      <w:r>
        <w:rPr>
          <w:rStyle w:val="Refdenotaalpie"/>
        </w:rPr>
        <w:footnoteRef/>
      </w:r>
      <w:r w:rsidRPr="00447691">
        <w:rPr>
          <w:lang w:val="en-GB"/>
        </w:rPr>
        <w:t xml:space="preserve"> </w:t>
      </w:r>
      <w:r w:rsidR="007555B9">
        <w:fldChar w:fldCharType="begin"/>
      </w:r>
      <w:r w:rsidR="007555B9" w:rsidRPr="00EE33E9">
        <w:rPr>
          <w:lang w:val="en-GB"/>
        </w:rPr>
        <w:instrText xml:space="preserve"> HYPERLINK "https://www.eleconomista.es/catalunya/noticias/11524172/12/21/Seat-avanza-en-su-electrificacion-con-un-centro-propio-</w:instrText>
      </w:r>
      <w:r w:rsidR="007555B9" w:rsidRPr="00EE33E9">
        <w:rPr>
          <w:lang w:val="en-GB"/>
        </w:rPr>
        <w:instrText xml:space="preserve">de-desarrollo-de-baterias.html" </w:instrText>
      </w:r>
      <w:r w:rsidR="007555B9">
        <w:fldChar w:fldCharType="separate"/>
      </w:r>
      <w:r w:rsidRPr="00447691">
        <w:rPr>
          <w:rStyle w:val="Hipervnculo"/>
          <w:lang w:val="en-GB"/>
        </w:rPr>
        <w:t>https://www.eleconomista.es/catalunya/noticias/11524172/12/21/Seat-avanza-en-su-electrificacion-con-un-centro-propio-de-desarrollo-de-baterias.html</w:t>
      </w:r>
      <w:r w:rsidR="007555B9">
        <w:rPr>
          <w:rStyle w:val="Hipervnculo"/>
          <w:lang w:val="en-GB"/>
        </w:rPr>
        <w:fldChar w:fldCharType="end"/>
      </w:r>
    </w:p>
  </w:footnote>
  <w:footnote w:id="8">
    <w:p w14:paraId="48C2BB7B" w14:textId="568C5A38" w:rsidR="00447691" w:rsidRPr="00447691" w:rsidRDefault="00447691" w:rsidP="00447691">
      <w:pPr>
        <w:pStyle w:val="Textonotapie"/>
        <w:rPr>
          <w:lang w:val="en-GB"/>
        </w:rPr>
      </w:pPr>
      <w:r>
        <w:rPr>
          <w:rStyle w:val="Refdenotaalpie"/>
        </w:rPr>
        <w:footnoteRef/>
      </w:r>
      <w:r w:rsidRPr="00447691">
        <w:rPr>
          <w:lang w:val="en-GB"/>
        </w:rPr>
        <w:t xml:space="preserve"> </w:t>
      </w:r>
      <w:r w:rsidR="007555B9">
        <w:fldChar w:fldCharType="begin"/>
      </w:r>
      <w:r w:rsidR="007555B9" w:rsidRPr="00EE33E9">
        <w:rPr>
          <w:lang w:val="en-GB"/>
        </w:rPr>
        <w:instrText xml:space="preserve"> HYPERLINK "https://www.lainformacion.com/empresas/pinchazo-nissan-seat</w:instrText>
      </w:r>
      <w:r w:rsidR="007555B9" w:rsidRPr="00EE33E9">
        <w:rPr>
          <w:lang w:val="en-GB"/>
        </w:rPr>
        <w:instrText xml:space="preserve">-pone-riesgo-10-economia-catalana/2855631/?autoref=true" </w:instrText>
      </w:r>
      <w:r w:rsidR="007555B9">
        <w:fldChar w:fldCharType="separate"/>
      </w:r>
      <w:r w:rsidRPr="00447691">
        <w:rPr>
          <w:rStyle w:val="Hipervnculo"/>
          <w:lang w:val="en-GB"/>
        </w:rPr>
        <w:t>https://www.lainformacion.com/empresas/pinchazo-nissan-seat-pone-riesgo-10-economia-catalana/2855631/?autoref=true</w:t>
      </w:r>
      <w:r w:rsidR="007555B9">
        <w:rPr>
          <w:rStyle w:val="Hipervnculo"/>
          <w:lang w:val="en-GB"/>
        </w:rPr>
        <w:fldChar w:fldCharType="end"/>
      </w:r>
    </w:p>
  </w:footnote>
  <w:footnote w:id="9">
    <w:p w14:paraId="719F3965" w14:textId="77777777" w:rsidR="00447691" w:rsidRPr="00447691" w:rsidRDefault="00447691" w:rsidP="00447691">
      <w:pPr>
        <w:pStyle w:val="Textonotapie"/>
        <w:rPr>
          <w:lang w:val="en-GB"/>
        </w:rPr>
      </w:pPr>
      <w:r>
        <w:rPr>
          <w:rStyle w:val="Refdenotaalpie"/>
        </w:rPr>
        <w:footnoteRef/>
      </w:r>
      <w:r w:rsidRPr="00447691">
        <w:rPr>
          <w:lang w:val="en-GB"/>
        </w:rPr>
        <w:t xml:space="preserve"> </w:t>
      </w:r>
      <w:r w:rsidR="007555B9">
        <w:fldChar w:fldCharType="begin"/>
      </w:r>
      <w:r w:rsidR="007555B9" w:rsidRPr="00EE33E9">
        <w:rPr>
          <w:lang w:val="en-GB"/>
        </w:rPr>
        <w:instrText xml:space="preserve"> HYPERLINK "https://www.mincotur.gob.es/es-es/recuperacion-transformacion-resil</w:instrText>
      </w:r>
      <w:r w:rsidR="007555B9" w:rsidRPr="00EE33E9">
        <w:rPr>
          <w:lang w:val="en-GB"/>
        </w:rPr>
        <w:instrText xml:space="preserve">iencia/Paginas/perte.aspx" </w:instrText>
      </w:r>
      <w:r w:rsidR="007555B9">
        <w:fldChar w:fldCharType="separate"/>
      </w:r>
      <w:r w:rsidRPr="00447691">
        <w:rPr>
          <w:rStyle w:val="Hipervnculo"/>
          <w:lang w:val="en-GB"/>
        </w:rPr>
        <w:t>https://www.mincotur.gob.es/es-es/recuperacion-transformacion-resiliencia/Paginas/perte.aspx</w:t>
      </w:r>
      <w:r w:rsidR="007555B9">
        <w:rPr>
          <w:rStyle w:val="Hipervnculo"/>
          <w:lang w:val="en-GB"/>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2CFB"/>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9F4D6E"/>
    <w:multiLevelType w:val="hybridMultilevel"/>
    <w:tmpl w:val="3F061DC6"/>
    <w:lvl w:ilvl="0" w:tplc="D6F4D69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A41AD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CB3D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FF5D51"/>
    <w:multiLevelType w:val="hybridMultilevel"/>
    <w:tmpl w:val="5E4E60A4"/>
    <w:lvl w:ilvl="0" w:tplc="FFFFFFFF">
      <w:start w:val="1"/>
      <w:numFmt w:val="decimal"/>
      <w:lvlText w:val="%1."/>
      <w:lvlJc w:val="left"/>
      <w:pPr>
        <w:ind w:left="720" w:hanging="360"/>
      </w:pPr>
      <w:rPr>
        <w:rFonts w:hint="default"/>
      </w:rPr>
    </w:lvl>
    <w:lvl w:ilvl="1" w:tplc="0C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473B36"/>
    <w:multiLevelType w:val="multilevel"/>
    <w:tmpl w:val="A846FD0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27A0A7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F93CB2"/>
    <w:multiLevelType w:val="multilevel"/>
    <w:tmpl w:val="8BD29DF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8616A04"/>
    <w:multiLevelType w:val="hybridMultilevel"/>
    <w:tmpl w:val="8EE43516"/>
    <w:lvl w:ilvl="0" w:tplc="AFD89CD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C31430"/>
    <w:multiLevelType w:val="multilevel"/>
    <w:tmpl w:val="45E855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B470AA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985A8D"/>
    <w:multiLevelType w:val="multilevel"/>
    <w:tmpl w:val="45E855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8"/>
  </w:num>
  <w:num w:numId="2">
    <w:abstractNumId w:val="10"/>
  </w:num>
  <w:num w:numId="3">
    <w:abstractNumId w:val="11"/>
  </w:num>
  <w:num w:numId="4">
    <w:abstractNumId w:val="4"/>
  </w:num>
  <w:num w:numId="5">
    <w:abstractNumId w:val="5"/>
  </w:num>
  <w:num w:numId="6">
    <w:abstractNumId w:val="7"/>
  </w:num>
  <w:num w:numId="7">
    <w:abstractNumId w:val="0"/>
  </w:num>
  <w:num w:numId="8">
    <w:abstractNumId w:val="6"/>
  </w:num>
  <w:num w:numId="9">
    <w:abstractNumId w:val="2"/>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67"/>
    <w:rsid w:val="000011F9"/>
    <w:rsid w:val="00026F18"/>
    <w:rsid w:val="000563FB"/>
    <w:rsid w:val="00060236"/>
    <w:rsid w:val="00071639"/>
    <w:rsid w:val="00072104"/>
    <w:rsid w:val="000879D1"/>
    <w:rsid w:val="00091D9D"/>
    <w:rsid w:val="00093BF2"/>
    <w:rsid w:val="000A244D"/>
    <w:rsid w:val="000C269A"/>
    <w:rsid w:val="000E5CBD"/>
    <w:rsid w:val="001814FE"/>
    <w:rsid w:val="001D2792"/>
    <w:rsid w:val="0022012F"/>
    <w:rsid w:val="00233197"/>
    <w:rsid w:val="002671C4"/>
    <w:rsid w:val="0026764E"/>
    <w:rsid w:val="00295AEA"/>
    <w:rsid w:val="00296EDB"/>
    <w:rsid w:val="002B0B29"/>
    <w:rsid w:val="002B4AD5"/>
    <w:rsid w:val="002C5C56"/>
    <w:rsid w:val="00316EF6"/>
    <w:rsid w:val="00370426"/>
    <w:rsid w:val="003778A7"/>
    <w:rsid w:val="003B4CEE"/>
    <w:rsid w:val="003D5C7F"/>
    <w:rsid w:val="003E276C"/>
    <w:rsid w:val="00403031"/>
    <w:rsid w:val="00417D3A"/>
    <w:rsid w:val="00445893"/>
    <w:rsid w:val="00447691"/>
    <w:rsid w:val="00456EA6"/>
    <w:rsid w:val="00467AD2"/>
    <w:rsid w:val="00477B32"/>
    <w:rsid w:val="00483EA7"/>
    <w:rsid w:val="004A1515"/>
    <w:rsid w:val="004A3F66"/>
    <w:rsid w:val="00511CB9"/>
    <w:rsid w:val="00544343"/>
    <w:rsid w:val="00547851"/>
    <w:rsid w:val="00591BB2"/>
    <w:rsid w:val="005A4BF8"/>
    <w:rsid w:val="005B6AEA"/>
    <w:rsid w:val="0060060B"/>
    <w:rsid w:val="00610A35"/>
    <w:rsid w:val="00615152"/>
    <w:rsid w:val="0061662B"/>
    <w:rsid w:val="00624A67"/>
    <w:rsid w:val="006342E3"/>
    <w:rsid w:val="00657CAA"/>
    <w:rsid w:val="00667987"/>
    <w:rsid w:val="00676279"/>
    <w:rsid w:val="006A2CE6"/>
    <w:rsid w:val="006C1385"/>
    <w:rsid w:val="006E536E"/>
    <w:rsid w:val="007024D7"/>
    <w:rsid w:val="00705511"/>
    <w:rsid w:val="00721DC6"/>
    <w:rsid w:val="00755065"/>
    <w:rsid w:val="007555B9"/>
    <w:rsid w:val="00764199"/>
    <w:rsid w:val="00770C15"/>
    <w:rsid w:val="00782A9C"/>
    <w:rsid w:val="007E6B0B"/>
    <w:rsid w:val="00813A4E"/>
    <w:rsid w:val="00890D6A"/>
    <w:rsid w:val="008B0F8E"/>
    <w:rsid w:val="008C25C3"/>
    <w:rsid w:val="008F103E"/>
    <w:rsid w:val="008F586F"/>
    <w:rsid w:val="0092119B"/>
    <w:rsid w:val="00940108"/>
    <w:rsid w:val="0095290E"/>
    <w:rsid w:val="009D0E42"/>
    <w:rsid w:val="00A01E71"/>
    <w:rsid w:val="00A063BE"/>
    <w:rsid w:val="00A36584"/>
    <w:rsid w:val="00AA73EC"/>
    <w:rsid w:val="00AE0DA3"/>
    <w:rsid w:val="00AE1813"/>
    <w:rsid w:val="00AF5942"/>
    <w:rsid w:val="00B07C68"/>
    <w:rsid w:val="00B234D8"/>
    <w:rsid w:val="00B26A47"/>
    <w:rsid w:val="00B506F5"/>
    <w:rsid w:val="00B6533D"/>
    <w:rsid w:val="00BA4BFB"/>
    <w:rsid w:val="00BC44DC"/>
    <w:rsid w:val="00BE0629"/>
    <w:rsid w:val="00C20687"/>
    <w:rsid w:val="00C327EA"/>
    <w:rsid w:val="00CA1B9B"/>
    <w:rsid w:val="00CB7591"/>
    <w:rsid w:val="00CC19A7"/>
    <w:rsid w:val="00CC74F0"/>
    <w:rsid w:val="00CE5091"/>
    <w:rsid w:val="00D260F0"/>
    <w:rsid w:val="00D76566"/>
    <w:rsid w:val="00D866D4"/>
    <w:rsid w:val="00D979AF"/>
    <w:rsid w:val="00DD4222"/>
    <w:rsid w:val="00DF37F3"/>
    <w:rsid w:val="00E20076"/>
    <w:rsid w:val="00E2360C"/>
    <w:rsid w:val="00E84CA3"/>
    <w:rsid w:val="00E87795"/>
    <w:rsid w:val="00E9536E"/>
    <w:rsid w:val="00ED3FB5"/>
    <w:rsid w:val="00EE2A79"/>
    <w:rsid w:val="00EE2C26"/>
    <w:rsid w:val="00EE33E9"/>
    <w:rsid w:val="00F07221"/>
    <w:rsid w:val="00F140FA"/>
    <w:rsid w:val="00F27292"/>
    <w:rsid w:val="00F613C2"/>
    <w:rsid w:val="00F9146E"/>
    <w:rsid w:val="00FD3B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6C3B"/>
  <w15:chartTrackingRefBased/>
  <w15:docId w15:val="{97D221E7-0438-41AB-9B74-2F25305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F58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4A67"/>
    <w:pPr>
      <w:ind w:left="720"/>
      <w:contextualSpacing/>
    </w:pPr>
  </w:style>
  <w:style w:type="paragraph" w:styleId="Ttulo">
    <w:name w:val="Title"/>
    <w:basedOn w:val="Normal"/>
    <w:next w:val="Normal"/>
    <w:link w:val="TtuloCar"/>
    <w:uiPriority w:val="10"/>
    <w:qFormat/>
    <w:rsid w:val="00890D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0D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58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F586F"/>
    <w:rPr>
      <w:rFonts w:eastAsiaTheme="minorEastAsia"/>
      <w:color w:val="5A5A5A" w:themeColor="text1" w:themeTint="A5"/>
      <w:spacing w:val="15"/>
    </w:rPr>
  </w:style>
  <w:style w:type="character" w:customStyle="1" w:styleId="Ttulo1Car">
    <w:name w:val="Título 1 Car"/>
    <w:basedOn w:val="Fuentedeprrafopredeter"/>
    <w:link w:val="Ttulo1"/>
    <w:uiPriority w:val="9"/>
    <w:rsid w:val="008F586F"/>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2671C4"/>
    <w:rPr>
      <w:color w:val="0563C1" w:themeColor="hyperlink"/>
      <w:u w:val="single"/>
    </w:rPr>
  </w:style>
  <w:style w:type="paragraph" w:styleId="Descripcin">
    <w:name w:val="caption"/>
    <w:basedOn w:val="Normal"/>
    <w:next w:val="Normal"/>
    <w:uiPriority w:val="35"/>
    <w:unhideWhenUsed/>
    <w:qFormat/>
    <w:rsid w:val="00544343"/>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95290E"/>
    <w:rPr>
      <w:color w:val="954F72" w:themeColor="followedHyperlink"/>
      <w:u w:val="single"/>
    </w:rPr>
  </w:style>
  <w:style w:type="paragraph" w:styleId="Textonotapie">
    <w:name w:val="footnote text"/>
    <w:basedOn w:val="Normal"/>
    <w:link w:val="TextonotapieCar"/>
    <w:uiPriority w:val="99"/>
    <w:semiHidden/>
    <w:unhideWhenUsed/>
    <w:rsid w:val="007E6B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6B0B"/>
    <w:rPr>
      <w:sz w:val="20"/>
      <w:szCs w:val="20"/>
    </w:rPr>
  </w:style>
  <w:style w:type="character" w:styleId="Refdenotaalpie">
    <w:name w:val="footnote reference"/>
    <w:basedOn w:val="Fuentedeprrafopredeter"/>
    <w:uiPriority w:val="99"/>
    <w:semiHidden/>
    <w:unhideWhenUsed/>
    <w:rsid w:val="007E6B0B"/>
    <w:rPr>
      <w:vertAlign w:val="superscript"/>
    </w:rPr>
  </w:style>
  <w:style w:type="table" w:styleId="Tablaconcuadrcula">
    <w:name w:val="Table Grid"/>
    <w:basedOn w:val="Tablanormal"/>
    <w:uiPriority w:val="59"/>
    <w:rsid w:val="002B0B2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091D9D"/>
  </w:style>
  <w:style w:type="paragraph" w:styleId="Textodeglobo">
    <w:name w:val="Balloon Text"/>
    <w:basedOn w:val="Normal"/>
    <w:link w:val="TextodegloboCar"/>
    <w:uiPriority w:val="99"/>
    <w:semiHidden/>
    <w:unhideWhenUsed/>
    <w:rsid w:val="00C327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601630">
      <w:bodyDiv w:val="1"/>
      <w:marLeft w:val="0"/>
      <w:marRight w:val="0"/>
      <w:marTop w:val="0"/>
      <w:marBottom w:val="0"/>
      <w:divBdr>
        <w:top w:val="none" w:sz="0" w:space="0" w:color="auto"/>
        <w:left w:val="none" w:sz="0" w:space="0" w:color="auto"/>
        <w:bottom w:val="none" w:sz="0" w:space="0" w:color="auto"/>
        <w:right w:val="none" w:sz="0" w:space="0" w:color="auto"/>
      </w:divBdr>
    </w:div>
    <w:div w:id="1182360637">
      <w:bodyDiv w:val="1"/>
      <w:marLeft w:val="0"/>
      <w:marRight w:val="0"/>
      <w:marTop w:val="0"/>
      <w:marBottom w:val="0"/>
      <w:divBdr>
        <w:top w:val="none" w:sz="0" w:space="0" w:color="auto"/>
        <w:left w:val="none" w:sz="0" w:space="0" w:color="auto"/>
        <w:bottom w:val="none" w:sz="0" w:space="0" w:color="auto"/>
        <w:right w:val="none" w:sz="0" w:space="0" w:color="auto"/>
      </w:divBdr>
    </w:div>
    <w:div w:id="1578855518">
      <w:bodyDiv w:val="1"/>
      <w:marLeft w:val="0"/>
      <w:marRight w:val="0"/>
      <w:marTop w:val="0"/>
      <w:marBottom w:val="0"/>
      <w:divBdr>
        <w:top w:val="none" w:sz="0" w:space="0" w:color="auto"/>
        <w:left w:val="none" w:sz="0" w:space="0" w:color="auto"/>
        <w:bottom w:val="none" w:sz="0" w:space="0" w:color="auto"/>
        <w:right w:val="none" w:sz="0" w:space="0" w:color="auto"/>
      </w:divBdr>
    </w:div>
    <w:div w:id="19402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es/books?id=REa2AAAAIAAJ&amp;pg=PA237&amp;dq=raw+materials+shortages&amp;hl=es&amp;sa=X&amp;ved=2ahUKEwiw-_Ljue_0AhUfCGMBHf5FAzkQ6AF6BAgCEAI" TargetMode="External"/><Relationship Id="rId2" Type="http://schemas.openxmlformats.org/officeDocument/2006/relationships/hyperlink" Target="https://ec.europa.eu/environment/topics/circular-economy/first-circular-economy-action-plan_en" TargetMode="External"/><Relationship Id="rId1" Type="http://schemas.openxmlformats.org/officeDocument/2006/relationships/hyperlink" Target="https://books.google.es/books?id=WXg6DAAAQBAJ&amp;pg=PA85&amp;dq=union+europea+demografia&amp;hl=es&amp;sa=X&amp;ved=2ahUKEwjchI37lan0AhVV14UKHZAmAWoQuwV6BAgJEAk" TargetMode="External"/><Relationship Id="rId4" Type="http://schemas.openxmlformats.org/officeDocument/2006/relationships/hyperlink" Target="https://www.bbc.com/mundo/noticias-internacional-590825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Gal89</b:Tag>
    <b:SourceType>Book</b:SourceType>
    <b:Guid>{21028472-B225-4D5B-8D59-34BFB357F4D8}</b:Guid>
    <b:Author>
      <b:Author>
        <b:NameList>
          <b:Person>
            <b:Last>Galán Fernández</b:Last>
            <b:First>Carmen</b:First>
          </b:Person>
          <b:Person>
            <b:Last>Martín Martín</b:Last>
            <b:First>José Ángel</b:First>
          </b:Person>
          <b:Person>
            <b:Last>Torremocha López</b:Last>
            <b:First>Miguel Ángel</b:First>
          </b:Person>
        </b:NameList>
      </b:Author>
    </b:Author>
    <b:Title>Hacia la Unión Europea</b:Title>
    <b:Year>1989</b:Year>
    <b:RefOrder>1</b:RefOrder>
  </b:Source>
  <b:Source>
    <b:Tag>Hit99</b:Tag>
    <b:SourceType>Book</b:SourceType>
    <b:Guid>{3390A24F-6754-409A-B429-F950A150FAD2}</b:Guid>
    <b:Title>Economía de la Unión Europea</b:Title>
    <b:Year>1999</b:Year>
    <b:City>Madrid</b:City>
    <b:Publisher>Prentice Hall</b:Publisher>
    <b:Author>
      <b:Author>
        <b:NameList>
          <b:Person>
            <b:Last>Hitiris</b:Last>
            <b:First>Theo</b:First>
          </b:Person>
          <b:Person>
            <b:Last>Vallés</b:Last>
            <b:First>José</b:First>
          </b:Person>
        </b:NameList>
      </b:Author>
    </b:Author>
    <b:RefOrder>2</b:RefOrder>
  </b:Source>
  <b:Source>
    <b:Tag>Kam13</b:Tag>
    <b:SourceType>Book</b:SourceType>
    <b:Guid>{712F3E86-27CF-4193-8FA8-E7B20A9984B7}</b:Guid>
    <b:Title>Elektromobilität</b:Title>
    <b:Year>2013</b:Year>
    <b:City>Heidelberg</b:City>
    <b:Publisher>Springer Vieweg</b:Publisher>
    <b:Author>
      <b:Author>
        <b:NameList>
          <b:Person>
            <b:Last>Kampker</b:Last>
            <b:First>Achim</b:First>
          </b:Person>
          <b:Person>
            <b:Last>Vallée</b:Last>
            <b:First>Dirk</b:First>
          </b:Person>
        </b:NameList>
      </b:Author>
    </b:Author>
    <b:RefOrder>3</b:RefOrder>
  </b:Source>
  <b:Source>
    <b:Tag>Jim21</b:Tag>
    <b:SourceType>ArticleInAPeriodical</b:SourceType>
    <b:Guid>{25991E8E-6D3B-46D4-AD32-680B3DECA9AF}</b:Guid>
    <b:Title>El 'pinchazo' de Nissan y Seat pone en riesgo el 10% de la economía catalana</b:Title>
    <b:Year>2021</b:Year>
    <b:PeriodicalTitle>La Información</b:PeriodicalTitle>
    <b:Month>12</b:Month>
    <b:Day>04</b:Day>
    <b:Pages>1</b:Pages>
    <b:Author>
      <b:Author>
        <b:NameList>
          <b:Person>
            <b:Last>Jiménez Nácher</b:Last>
            <b:First>Beatriz</b:First>
          </b:Person>
        </b:NameList>
      </b:Author>
    </b:Author>
    <b:RefOrder>4</b:RefOrder>
  </b:Source>
  <b:Source>
    <b:Tag>Min21</b:Tag>
    <b:SourceType>InternetSite</b:SourceType>
    <b:Guid>{C8818064-3AF6-4560-B9AE-C12DD6DFDC7C}</b:Guid>
    <b:Title>Mincotur.gob.es</b:Title>
    <b:Year>2021</b:Year>
    <b:InternetSiteTitle>PERTE para el desarrollo del Vehículo Eléctrico y Conectado</b:InternetSiteTitle>
    <b:URL>https://www.mincotur.gob.es/es-es/recuperacion-transformacion-resiliencia/Paginas/perte.aspx</b:URL>
    <b:Author>
      <b:Author>
        <b:Corporate>Ministerio de Industria, Comercio y Turismo</b:Corporate>
      </b:Author>
    </b:Author>
    <b:RefOrder>5</b:RefOrder>
  </b:Source>
  <b:Source>
    <b:Tag>Lóp21</b:Tag>
    <b:SourceType>ArticleInAPeriodical</b:SourceType>
    <b:Guid>{864A32DF-DB97-4A63-84CC-7B778D85BA27}</b:Guid>
    <b:Title>Seat avanza en su electrificación con un centro propio de desarrollo de baterías</b:Title>
    <b:Year>2021</b:Year>
    <b:Month>12</b:Month>
    <b:Day>15</b:Day>
    <b:PeriodicalTitle>elEconomista</b:PeriodicalTitle>
    <b:Pages>1</b:Pages>
    <b:Author>
      <b:Author>
        <b:NameList>
          <b:Person>
            <b:Last>López</b:Last>
            <b:First>Estela</b:First>
          </b:Person>
        </b:NameList>
      </b:Author>
    </b:Author>
    <b:RefOrder>6</b:RefOrder>
  </b:Source>
  <b:Source>
    <b:Tag>Bla21</b:Tag>
    <b:SourceType>ArticleInAPeriodical</b:SourceType>
    <b:Guid>{135A412F-C751-4B76-A0B3-9B1254A3048F}</b:Guid>
    <b:Title>Por qué no se cumplen todavía las tres 'leyes' de la inflación del BCE</b:Title>
    <b:PeriodicalTitle>elEconomista</b:PeriodicalTitle>
    <b:Year>2021</b:Year>
    <b:Month>11</b:Month>
    <b:Day>19</b:Day>
    <b:Pages>1</b:Pages>
    <b:Author>
      <b:Author>
        <b:NameList>
          <b:Person>
            <b:Last>Blanco Moro</b:Last>
            <b:First>Víctor</b:First>
          </b:Person>
          <b:Person>
            <b:Last>Nieves</b:Last>
            <b:First>Vicente</b:First>
          </b:Person>
        </b:NameList>
      </b:Author>
    </b:Author>
    <b:RefOrder>7</b:RefOrder>
  </b:Source>
  <b:Source>
    <b:Tag>Org21</b:Tag>
    <b:SourceType>ArticleInAPeriodical</b:SourceType>
    <b:Guid>{5E702963-F064-4801-B625-7D6BF7E0CF94}</b:Guid>
    <b:Title>"La escasez que vivimos es solo un aviso de lo que vendrá si no conseguimos cambiar el modelo económico"</b:Title>
    <b:PeriodicalTitle>BBC</b:PeriodicalTitle>
    <b:Year>2021</b:Year>
    <b:Month>11</b:Month>
    <b:Day>09</b:Day>
    <b:Pages>1</b:Pages>
    <b:Author>
      <b:Author>
        <b:NameList>
          <b:Person>
            <b:Last>Orgaz</b:Last>
            <b:Middle>J.</b:Middle>
            <b:First>Cristina</b:First>
          </b:Person>
        </b:NameList>
      </b:Author>
    </b:Author>
    <b:RefOrder>8</b:RefOrder>
  </b:Source>
  <b:Source>
    <b:Tag>PM21</b:Tag>
    <b:SourceType>ArticleInAPeriodical</b:SourceType>
    <b:Guid>{379F48C3-8915-4373-83AE-E3400B589135}</b:Guid>
    <b:Author>
      <b:Author>
        <b:NameList>
          <b:Person>
            <b:Last>M.</b:Last>
            <b:First>P.</b:First>
          </b:Person>
        </b:NameList>
      </b:Author>
    </b:Author>
    <b:Title>La producción de automóviles en España cayó un 37,9% en octubre por la falta de chips</b:Title>
    <b:PeriodicalTitle>El Confidencial</b:PeriodicalTitle>
    <b:Year>2021</b:Year>
    <b:Month>11</b:Month>
    <b:Day>25</b:Day>
    <b:Pages>1</b:Pages>
    <b:RefOrder>9</b:RefOrder>
  </b:Source>
  <b:Source>
    <b:Tag>Mar18</b:Tag>
    <b:SourceType>ArticleInAPeriodical</b:SourceType>
    <b:Guid>{2379BB40-850F-4A7C-8904-1DAAE6C97C71}</b:Guid>
    <b:Title>Llega la guerra de las 'electrolineras' por el control del millonario negocio de la movilidad</b:Title>
    <b:PeriodicalTitle>El Mundo</b:PeriodicalTitle>
    <b:Year>2018</b:Year>
    <b:Month>01</b:Month>
    <b:Day>14</b:Day>
    <b:Pages>1</b:Pages>
    <b:Author>
      <b:Author>
        <b:NameList>
          <b:Person>
            <b:Last>Martínez</b:Last>
            <b:First>Víctor</b:First>
          </b:Person>
        </b:NameList>
      </b:Author>
    </b:Author>
    <b:RefOrder>10</b:RefOrder>
  </b:Source>
</b:Sources>
</file>

<file path=customXml/itemProps1.xml><?xml version="1.0" encoding="utf-8"?>
<ds:datastoreItem xmlns:ds="http://schemas.openxmlformats.org/officeDocument/2006/customXml" ds:itemID="{2F75708B-ED57-4D02-8476-CA9B1730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10</Pages>
  <Words>2278</Words>
  <Characters>12530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MUÑOZ GARCÍA</dc:creator>
  <cp:keywords/>
  <dc:description/>
  <cp:lastModifiedBy>AEAT</cp:lastModifiedBy>
  <cp:revision>5</cp:revision>
  <dcterms:created xsi:type="dcterms:W3CDTF">2021-12-31T11:09:00Z</dcterms:created>
  <dcterms:modified xsi:type="dcterms:W3CDTF">2022-01-05T12:07:00Z</dcterms:modified>
</cp:coreProperties>
</file>