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3D" w:rsidRPr="00DC4364" w:rsidRDefault="006C003D" w:rsidP="00B85604">
      <w:pPr>
        <w:shd w:val="clear" w:color="auto" w:fill="FFFFFF"/>
        <w:tabs>
          <w:tab w:val="left" w:pos="0"/>
          <w:tab w:val="left" w:pos="851"/>
        </w:tabs>
        <w:spacing w:after="0" w:line="360" w:lineRule="auto"/>
        <w:jc w:val="center"/>
        <w:rPr>
          <w:rFonts w:cs="Times New Roman"/>
          <w:b/>
          <w:sz w:val="24"/>
          <w:szCs w:val="24"/>
          <w:shd w:val="clear" w:color="auto" w:fill="FFFFFF"/>
          <w:lang w:val="es-ES"/>
        </w:rPr>
      </w:pPr>
      <w:bookmarkStart w:id="0" w:name="_GoBack"/>
      <w:bookmarkEnd w:id="0"/>
      <w:r w:rsidRPr="006C003D">
        <w:rPr>
          <w:rFonts w:cs="Times New Roman"/>
          <w:b/>
          <w:sz w:val="24"/>
          <w:szCs w:val="24"/>
          <w:shd w:val="clear" w:color="auto" w:fill="FFFFFF"/>
          <w:lang w:val="es-ES"/>
        </w:rPr>
        <w:t>Regulación estatal de l</w:t>
      </w:r>
      <w:r w:rsidR="00AC13D2">
        <w:rPr>
          <w:rFonts w:cs="Times New Roman"/>
          <w:b/>
          <w:sz w:val="24"/>
          <w:szCs w:val="24"/>
          <w:shd w:val="clear" w:color="auto" w:fill="FFFFFF"/>
          <w:lang w:val="es-ES"/>
        </w:rPr>
        <w:t>a economía durante l</w:t>
      </w:r>
      <w:r w:rsidRPr="006C003D">
        <w:rPr>
          <w:rFonts w:cs="Times New Roman"/>
          <w:b/>
          <w:sz w:val="24"/>
          <w:szCs w:val="24"/>
          <w:shd w:val="clear" w:color="auto" w:fill="FFFFFF"/>
          <w:lang w:val="es-ES"/>
        </w:rPr>
        <w:t>a pandemia</w:t>
      </w:r>
      <w:r w:rsidR="00DC4364" w:rsidRPr="00DC4364">
        <w:rPr>
          <w:rFonts w:cs="Times New Roman"/>
          <w:b/>
          <w:sz w:val="24"/>
          <w:szCs w:val="24"/>
          <w:shd w:val="clear" w:color="auto" w:fill="FFFFFF"/>
          <w:lang w:val="es-ES"/>
        </w:rPr>
        <w:t>.</w:t>
      </w:r>
    </w:p>
    <w:p w:rsidR="006C003D" w:rsidRPr="006C003D" w:rsidRDefault="006C003D" w:rsidP="00B85604">
      <w:pPr>
        <w:shd w:val="clear" w:color="auto" w:fill="FFFFFF"/>
        <w:tabs>
          <w:tab w:val="left" w:pos="0"/>
          <w:tab w:val="left" w:pos="851"/>
        </w:tabs>
        <w:spacing w:after="0" w:line="360" w:lineRule="auto"/>
        <w:jc w:val="center"/>
        <w:rPr>
          <w:rFonts w:cs="Times New Roman"/>
          <w:b/>
          <w:sz w:val="24"/>
          <w:szCs w:val="24"/>
          <w:shd w:val="clear" w:color="auto" w:fill="FFFFFF"/>
        </w:rPr>
      </w:pPr>
      <w:proofErr w:type="spellStart"/>
      <w:r w:rsidRPr="006C003D">
        <w:rPr>
          <w:rFonts w:cs="Times New Roman"/>
          <w:b/>
          <w:sz w:val="24"/>
          <w:szCs w:val="24"/>
          <w:shd w:val="clear" w:color="auto" w:fill="FFFFFF"/>
        </w:rPr>
        <w:t>Estudios</w:t>
      </w:r>
      <w:proofErr w:type="spellEnd"/>
      <w:r w:rsidRPr="006C003D">
        <w:rPr>
          <w:rFonts w:cs="Times New Roman"/>
          <w:b/>
          <w:sz w:val="24"/>
          <w:szCs w:val="24"/>
          <w:shd w:val="clear" w:color="auto" w:fill="FFFFFF"/>
        </w:rPr>
        <w:t xml:space="preserve"> </w:t>
      </w:r>
      <w:proofErr w:type="spellStart"/>
      <w:r w:rsidRPr="006C003D">
        <w:rPr>
          <w:rFonts w:cs="Times New Roman"/>
          <w:b/>
          <w:sz w:val="24"/>
          <w:szCs w:val="24"/>
          <w:shd w:val="clear" w:color="auto" w:fill="FFFFFF"/>
        </w:rPr>
        <w:t>comparativos</w:t>
      </w:r>
      <w:proofErr w:type="spellEnd"/>
    </w:p>
    <w:p w:rsidR="000159B9" w:rsidRDefault="000159B9" w:rsidP="00B85604">
      <w:pPr>
        <w:shd w:val="clear" w:color="auto" w:fill="FFFFFF"/>
        <w:tabs>
          <w:tab w:val="left" w:pos="0"/>
          <w:tab w:val="left" w:pos="851"/>
        </w:tabs>
        <w:spacing w:after="0" w:line="360" w:lineRule="auto"/>
        <w:rPr>
          <w:rFonts w:cs="Times New Roman"/>
          <w:sz w:val="24"/>
          <w:szCs w:val="24"/>
          <w:shd w:val="clear" w:color="auto" w:fill="FFFFFF"/>
        </w:rPr>
      </w:pPr>
    </w:p>
    <w:p w:rsidR="006C003D" w:rsidRPr="00595E41" w:rsidRDefault="00595E41" w:rsidP="00595E41">
      <w:pPr>
        <w:shd w:val="clear" w:color="auto" w:fill="FFFFFF"/>
        <w:tabs>
          <w:tab w:val="left" w:pos="0"/>
          <w:tab w:val="left" w:pos="851"/>
        </w:tabs>
        <w:spacing w:after="0" w:line="360" w:lineRule="auto"/>
        <w:jc w:val="center"/>
        <w:rPr>
          <w:rFonts w:cs="Times New Roman"/>
          <w:b/>
          <w:sz w:val="24"/>
          <w:szCs w:val="24"/>
          <w:shd w:val="clear" w:color="auto" w:fill="FFFFFF"/>
        </w:rPr>
      </w:pPr>
      <w:proofErr w:type="spellStart"/>
      <w:r w:rsidRPr="00595E41">
        <w:rPr>
          <w:rFonts w:cs="Times New Roman"/>
          <w:b/>
          <w:sz w:val="24"/>
          <w:szCs w:val="24"/>
          <w:shd w:val="clear" w:color="auto" w:fill="FFFFFF"/>
        </w:rPr>
        <w:t>Introducción</w:t>
      </w:r>
      <w:proofErr w:type="spellEnd"/>
    </w:p>
    <w:p w:rsidR="00595E41" w:rsidRDefault="00595E41" w:rsidP="00B85604">
      <w:pPr>
        <w:shd w:val="clear" w:color="auto" w:fill="FFFFFF"/>
        <w:tabs>
          <w:tab w:val="left" w:pos="0"/>
          <w:tab w:val="left" w:pos="851"/>
        </w:tabs>
        <w:spacing w:after="0" w:line="360" w:lineRule="auto"/>
        <w:rPr>
          <w:rFonts w:cs="Times New Roman"/>
          <w:sz w:val="24"/>
          <w:szCs w:val="24"/>
          <w:shd w:val="clear" w:color="auto" w:fill="FFFFFF"/>
        </w:rPr>
      </w:pPr>
    </w:p>
    <w:p w:rsidR="00595E41" w:rsidRPr="006C5400" w:rsidRDefault="00595E41" w:rsidP="00B85604">
      <w:pPr>
        <w:shd w:val="clear" w:color="auto" w:fill="FFFFFF"/>
        <w:tabs>
          <w:tab w:val="left" w:pos="0"/>
          <w:tab w:val="left" w:pos="851"/>
        </w:tabs>
        <w:spacing w:after="0" w:line="360" w:lineRule="auto"/>
        <w:rPr>
          <w:rFonts w:cs="Times New Roman"/>
          <w:sz w:val="24"/>
          <w:szCs w:val="24"/>
          <w:shd w:val="clear" w:color="auto" w:fill="FFFFFF"/>
          <w:lang w:val="es-ES"/>
        </w:rPr>
      </w:pPr>
      <w:r w:rsidRPr="00595E41">
        <w:rPr>
          <w:rFonts w:cs="Times New Roman"/>
          <w:sz w:val="24"/>
          <w:szCs w:val="24"/>
          <w:shd w:val="clear" w:color="auto" w:fill="FFFFFF"/>
          <w:lang w:val="es-ES"/>
        </w:rPr>
        <w:t>La propagación del coronavirus y las medidas restrictivas introducidas en todos los países, junto con el autocontrol de la población, han tenido un impacto impetuoso, tanto en las economías nacionales como en la economía mundial en su conjunto.</w:t>
      </w:r>
    </w:p>
    <w:p w:rsidR="006C5400" w:rsidRDefault="006C5400" w:rsidP="00B85604">
      <w:pPr>
        <w:shd w:val="clear" w:color="auto" w:fill="FFFFFF"/>
        <w:tabs>
          <w:tab w:val="left" w:pos="0"/>
          <w:tab w:val="left" w:pos="851"/>
        </w:tabs>
        <w:spacing w:after="0" w:line="360" w:lineRule="auto"/>
        <w:rPr>
          <w:rFonts w:cs="Times New Roman"/>
          <w:sz w:val="24"/>
          <w:szCs w:val="24"/>
          <w:shd w:val="clear" w:color="auto" w:fill="FFFFFF"/>
        </w:rPr>
      </w:pPr>
      <w:r w:rsidRPr="006C5400">
        <w:rPr>
          <w:rFonts w:cs="Times New Roman"/>
          <w:sz w:val="24"/>
          <w:szCs w:val="24"/>
          <w:shd w:val="clear" w:color="auto" w:fill="FFFFFF"/>
          <w:lang w:val="es-ES"/>
        </w:rPr>
        <w:t>Sin duda, es demasiado pronto para evaluar el impacto de la epidemia de coronavirus en la economía mundial. Pero es posible asumir lo que nos espera “a la vuelta de la esquina”, ya que todos los países más grandes ya han identificado sus estrategias para hacer frente a las dificultades actuales.</w:t>
      </w:r>
    </w:p>
    <w:p w:rsidR="006C5400" w:rsidRDefault="00DC4364" w:rsidP="00B85604">
      <w:pPr>
        <w:shd w:val="clear" w:color="auto" w:fill="FFFFFF"/>
        <w:tabs>
          <w:tab w:val="left" w:pos="0"/>
          <w:tab w:val="left" w:pos="851"/>
        </w:tabs>
        <w:spacing w:after="0" w:line="360" w:lineRule="auto"/>
        <w:rPr>
          <w:rFonts w:cs="Times New Roman"/>
          <w:sz w:val="24"/>
          <w:szCs w:val="24"/>
          <w:shd w:val="clear" w:color="auto" w:fill="FFFFFF"/>
        </w:rPr>
      </w:pPr>
      <w:r w:rsidRPr="00DC4364">
        <w:rPr>
          <w:rFonts w:cs="Times New Roman"/>
          <w:sz w:val="24"/>
          <w:szCs w:val="24"/>
          <w:shd w:val="clear" w:color="auto" w:fill="FFFFFF"/>
          <w:lang w:val="es-ES"/>
        </w:rPr>
        <w:t xml:space="preserve">La pandemia ha golpeado duramente a la economía mundial, el peor impacto desde la Segunda Guerra Mundial. </w:t>
      </w:r>
      <w:r w:rsidR="00C42A06" w:rsidRPr="00C42A06">
        <w:rPr>
          <w:rFonts w:cs="Times New Roman"/>
          <w:sz w:val="24"/>
          <w:szCs w:val="24"/>
          <w:shd w:val="clear" w:color="auto" w:fill="FFFFFF"/>
          <w:lang w:val="es-ES"/>
        </w:rPr>
        <w:t xml:space="preserve">El régimen de aislamiento y la fuerte caída en el gasto de los consumidores llevaron al colapso del mercado laboral, que resultó en la pérdida de casi 500 millones de puestos de trabajo. El comercio mundial se sacudió cuando las fábricas cerraron y los países cerraron sus fronteras. </w:t>
      </w:r>
      <w:r w:rsidR="000471E7" w:rsidRPr="000471E7">
        <w:rPr>
          <w:rFonts w:cs="Times New Roman"/>
          <w:sz w:val="24"/>
          <w:szCs w:val="24"/>
          <w:shd w:val="clear" w:color="auto" w:fill="FFFFFF"/>
          <w:lang w:val="es-ES"/>
        </w:rPr>
        <w:t>Se evitó una catástrofe económica más grave gracias a la interferencia sin precedentes en los mercados financieros por parte de los bancos centrales, la ayuda gubernamental a los trabajadores y las empresas en quiebra, y un aumento del déficit presupuestario a niveles casi de guerra.</w:t>
      </w:r>
    </w:p>
    <w:p w:rsidR="000471E7" w:rsidRDefault="000471E7" w:rsidP="00B85604">
      <w:pPr>
        <w:shd w:val="clear" w:color="auto" w:fill="FFFFFF"/>
        <w:tabs>
          <w:tab w:val="left" w:pos="0"/>
          <w:tab w:val="left" w:pos="851"/>
        </w:tabs>
        <w:spacing w:after="0" w:line="360" w:lineRule="auto"/>
        <w:rPr>
          <w:rFonts w:cs="Times New Roman"/>
          <w:sz w:val="24"/>
          <w:szCs w:val="24"/>
          <w:shd w:val="clear" w:color="auto" w:fill="FFFFFF"/>
        </w:rPr>
      </w:pPr>
      <w:r w:rsidRPr="000471E7">
        <w:rPr>
          <w:rFonts w:cs="Times New Roman"/>
          <w:sz w:val="24"/>
          <w:szCs w:val="24"/>
          <w:shd w:val="clear" w:color="auto" w:fill="FFFFFF"/>
          <w:lang w:val="es-ES"/>
        </w:rPr>
        <w:t xml:space="preserve">No cabe duda de que combatir el coronavirus es una tarea noble y costosa. Pero, al resolverlo, el estado cambia simultáneamente todas las reglas del juego en la economía. </w:t>
      </w:r>
      <w:r w:rsidR="006E61A6" w:rsidRPr="006E61A6">
        <w:rPr>
          <w:rFonts w:cs="Times New Roman"/>
          <w:sz w:val="24"/>
          <w:szCs w:val="24"/>
          <w:shd w:val="clear" w:color="auto" w:fill="FFFFFF"/>
          <w:lang w:val="es-ES"/>
        </w:rPr>
        <w:t>Resultó que en una determinada situación es posible: detener el trabajo diario del negocio con fines muy nobles; restringir la libertad de circulación de mercancías y personas por los mismos motivos; cambiar el sistema tributario habitual que se ha formado a lo largo de los años; dejar prácticamente toda la actividad económica en un estado de incertidumbre sin ningún pronóstico positivo de retorno a la vida normal.</w:t>
      </w:r>
    </w:p>
    <w:p w:rsidR="006E61A6" w:rsidRDefault="00C40B90" w:rsidP="00B85604">
      <w:pPr>
        <w:shd w:val="clear" w:color="auto" w:fill="FFFFFF"/>
        <w:tabs>
          <w:tab w:val="left" w:pos="0"/>
          <w:tab w:val="left" w:pos="851"/>
        </w:tabs>
        <w:spacing w:after="0" w:line="360" w:lineRule="auto"/>
        <w:rPr>
          <w:rFonts w:cs="Times New Roman"/>
          <w:sz w:val="24"/>
          <w:szCs w:val="24"/>
          <w:shd w:val="clear" w:color="auto" w:fill="FFFFFF"/>
        </w:rPr>
      </w:pPr>
      <w:r w:rsidRPr="00C40B90">
        <w:rPr>
          <w:rFonts w:cs="Times New Roman"/>
          <w:sz w:val="24"/>
          <w:szCs w:val="24"/>
          <w:shd w:val="clear" w:color="auto" w:fill="FFFFFF"/>
          <w:lang w:val="es-ES"/>
        </w:rPr>
        <w:t xml:space="preserve">La regulación de la economía consiste en la adopción de medidas por parte de las agencias gubernamentales para equilibrar el flujo de flujos financieros, materiales y laborales entre compradores y vendedores, productores y consumidores. La regulación de la economía se lleva a cabo en cinco aspectos: equilibrio de materiales, mano de obra y flujos de caja; reducir la volatilidad de estos flujos; reducir la entropía o dispersión de la producción y el consumo; lograr el crecimiento económico; reducir los riesgos económicos. </w:t>
      </w:r>
    </w:p>
    <w:p w:rsidR="00C40B90" w:rsidRDefault="00C40B90" w:rsidP="00B85604">
      <w:pPr>
        <w:shd w:val="clear" w:color="auto" w:fill="FFFFFF"/>
        <w:tabs>
          <w:tab w:val="left" w:pos="0"/>
          <w:tab w:val="left" w:pos="851"/>
        </w:tabs>
        <w:spacing w:after="0" w:line="360" w:lineRule="auto"/>
        <w:rPr>
          <w:rFonts w:cs="Times New Roman"/>
          <w:sz w:val="24"/>
          <w:szCs w:val="24"/>
          <w:shd w:val="clear" w:color="auto" w:fill="FFFFFF"/>
        </w:rPr>
      </w:pPr>
      <w:r w:rsidRPr="00C40B90">
        <w:rPr>
          <w:rFonts w:cs="Times New Roman"/>
          <w:sz w:val="24"/>
          <w:szCs w:val="24"/>
          <w:shd w:val="clear" w:color="auto" w:fill="FFFFFF"/>
          <w:lang w:val="es-ES"/>
        </w:rPr>
        <w:t xml:space="preserve">En el proceso de recuperación económica, aparecen grandes brechas entre el desempeño de los países que pueden cambiar todo el orden económico mundial. Según el banco UBS, en el </w:t>
      </w:r>
      <w:r w:rsidRPr="00C40B90">
        <w:rPr>
          <w:rFonts w:cs="Times New Roman"/>
          <w:sz w:val="24"/>
          <w:szCs w:val="24"/>
          <w:shd w:val="clear" w:color="auto" w:fill="FFFFFF"/>
          <w:lang w:val="es-ES"/>
        </w:rPr>
        <w:lastRenderedPageBreak/>
        <w:t>segundo trimestre de este año, la brecha entre el crecimiento económico de 50 países fue la más alta de los últimos 40 años. Esta variación es consecuencia de las diferencias entre países y, en este contexto, la tasa de propagación de la infección por coronavirus es de gran importancia. Otra diferencia radica en la estructura preexistente de la economía. Es mucho más fácil imponer el distanciamiento social en las fábricas que en los servicios que implican la comunicación cara a cara. El tercer factor es la respuesta política a la pandemia y sus secuelas.</w:t>
      </w:r>
    </w:p>
    <w:p w:rsidR="0008463F" w:rsidRPr="0008463F" w:rsidRDefault="0008463F" w:rsidP="0008463F">
      <w:pPr>
        <w:shd w:val="clear" w:color="auto" w:fill="FFFFFF"/>
        <w:tabs>
          <w:tab w:val="left" w:pos="0"/>
          <w:tab w:val="left" w:pos="851"/>
        </w:tabs>
        <w:spacing w:after="0" w:line="360" w:lineRule="auto"/>
        <w:rPr>
          <w:rFonts w:cs="Times New Roman"/>
          <w:sz w:val="24"/>
          <w:szCs w:val="24"/>
          <w:shd w:val="clear" w:color="auto" w:fill="FFFFFF"/>
          <w:lang w:val="es-ES"/>
        </w:rPr>
      </w:pPr>
      <w:r w:rsidRPr="0008463F">
        <w:rPr>
          <w:rFonts w:cs="Times New Roman"/>
          <w:sz w:val="24"/>
          <w:szCs w:val="24"/>
          <w:shd w:val="clear" w:color="auto" w:fill="FFFFFF"/>
          <w:lang w:val="es-ES"/>
        </w:rPr>
        <w:t>Las economías nacionales se encuentran ahora en autoaislamiento.</w:t>
      </w:r>
    </w:p>
    <w:p w:rsidR="00C40B90" w:rsidRDefault="0008463F" w:rsidP="0008463F">
      <w:pPr>
        <w:shd w:val="clear" w:color="auto" w:fill="FFFFFF"/>
        <w:tabs>
          <w:tab w:val="left" w:pos="0"/>
          <w:tab w:val="left" w:pos="851"/>
        </w:tabs>
        <w:spacing w:after="0" w:line="360" w:lineRule="auto"/>
        <w:rPr>
          <w:rFonts w:cs="Times New Roman"/>
          <w:sz w:val="24"/>
          <w:szCs w:val="24"/>
          <w:shd w:val="clear" w:color="auto" w:fill="FFFFFF"/>
        </w:rPr>
      </w:pPr>
      <w:r w:rsidRPr="0008463F">
        <w:rPr>
          <w:rFonts w:cs="Times New Roman"/>
          <w:sz w:val="24"/>
          <w:szCs w:val="24"/>
          <w:shd w:val="clear" w:color="auto" w:fill="FFFFFF"/>
          <w:lang w:val="es-ES"/>
        </w:rPr>
        <w:t>No hay duda de que la pandemia fortalecerá el papel de la regulación gubernamental y fortalecerá el nacionalismo y el proteccionismo. La mayoría de los gobiernos, especialmente los desarrollados, tomarán medidas extraordinarias para hacer frente a la crisis, y muchos de ellos no querrán ceder nuevos poderes cuando la crisis termine.</w:t>
      </w:r>
    </w:p>
    <w:p w:rsidR="0008463F" w:rsidRDefault="0008463F" w:rsidP="0008463F">
      <w:pPr>
        <w:shd w:val="clear" w:color="auto" w:fill="FFFFFF"/>
        <w:tabs>
          <w:tab w:val="left" w:pos="0"/>
          <w:tab w:val="left" w:pos="851"/>
        </w:tabs>
        <w:spacing w:after="0" w:line="360" w:lineRule="auto"/>
        <w:rPr>
          <w:rFonts w:cs="Times New Roman"/>
          <w:sz w:val="24"/>
          <w:szCs w:val="24"/>
          <w:shd w:val="clear" w:color="auto" w:fill="FFFFFF"/>
        </w:rPr>
      </w:pPr>
      <w:r w:rsidRPr="0008463F">
        <w:rPr>
          <w:rFonts w:cs="Times New Roman"/>
          <w:sz w:val="24"/>
          <w:szCs w:val="24"/>
          <w:shd w:val="clear" w:color="auto" w:fill="FFFFFF"/>
          <w:lang w:val="es-ES"/>
        </w:rPr>
        <w:t>La actualización de los datos, que ocurre constantemente, indica el deterioro de las previsiones de largo plazo y que la situación en el presente es más compleja de lo que se estimaba anteriormente.</w:t>
      </w:r>
    </w:p>
    <w:p w:rsidR="0008463F" w:rsidRDefault="0008463F" w:rsidP="0008463F">
      <w:pPr>
        <w:shd w:val="clear" w:color="auto" w:fill="FFFFFF"/>
        <w:tabs>
          <w:tab w:val="left" w:pos="0"/>
          <w:tab w:val="left" w:pos="851"/>
        </w:tabs>
        <w:spacing w:after="0" w:line="360" w:lineRule="auto"/>
        <w:rPr>
          <w:rFonts w:cs="Times New Roman"/>
          <w:sz w:val="24"/>
          <w:szCs w:val="24"/>
          <w:shd w:val="clear" w:color="auto" w:fill="FFFFFF"/>
        </w:rPr>
      </w:pPr>
    </w:p>
    <w:p w:rsidR="0008463F" w:rsidRPr="009E17BE" w:rsidRDefault="009E17BE" w:rsidP="009E17BE">
      <w:pPr>
        <w:shd w:val="clear" w:color="auto" w:fill="FFFFFF"/>
        <w:tabs>
          <w:tab w:val="left" w:pos="0"/>
          <w:tab w:val="left" w:pos="851"/>
        </w:tabs>
        <w:spacing w:after="0" w:line="360" w:lineRule="auto"/>
        <w:jc w:val="center"/>
        <w:rPr>
          <w:rFonts w:cs="Times New Roman"/>
          <w:b/>
          <w:sz w:val="24"/>
          <w:szCs w:val="24"/>
          <w:shd w:val="clear" w:color="auto" w:fill="FFFFFF"/>
        </w:rPr>
      </w:pPr>
      <w:proofErr w:type="spellStart"/>
      <w:r w:rsidRPr="009E17BE">
        <w:rPr>
          <w:rFonts w:cs="Times New Roman"/>
          <w:b/>
          <w:sz w:val="24"/>
          <w:szCs w:val="24"/>
          <w:shd w:val="clear" w:color="auto" w:fill="FFFFFF"/>
        </w:rPr>
        <w:t>Hipótesis</w:t>
      </w:r>
      <w:proofErr w:type="spellEnd"/>
      <w:r w:rsidRPr="009E17BE">
        <w:rPr>
          <w:rFonts w:cs="Times New Roman"/>
          <w:b/>
          <w:sz w:val="24"/>
          <w:szCs w:val="24"/>
          <w:shd w:val="clear" w:color="auto" w:fill="FFFFFF"/>
        </w:rPr>
        <w:t xml:space="preserve"> </w:t>
      </w:r>
      <w:proofErr w:type="spellStart"/>
      <w:r w:rsidRPr="009E17BE">
        <w:rPr>
          <w:rFonts w:cs="Times New Roman"/>
          <w:b/>
          <w:sz w:val="24"/>
          <w:szCs w:val="24"/>
          <w:shd w:val="clear" w:color="auto" w:fill="FFFFFF"/>
        </w:rPr>
        <w:t>del</w:t>
      </w:r>
      <w:proofErr w:type="spellEnd"/>
      <w:r w:rsidRPr="009E17BE">
        <w:rPr>
          <w:rFonts w:cs="Times New Roman"/>
          <w:b/>
          <w:sz w:val="24"/>
          <w:szCs w:val="24"/>
          <w:shd w:val="clear" w:color="auto" w:fill="FFFFFF"/>
        </w:rPr>
        <w:t xml:space="preserve"> </w:t>
      </w:r>
      <w:proofErr w:type="spellStart"/>
      <w:r w:rsidRPr="009E17BE">
        <w:rPr>
          <w:rFonts w:cs="Times New Roman"/>
          <w:b/>
          <w:sz w:val="24"/>
          <w:szCs w:val="24"/>
          <w:shd w:val="clear" w:color="auto" w:fill="FFFFFF"/>
        </w:rPr>
        <w:t>trabajo</w:t>
      </w:r>
      <w:proofErr w:type="spellEnd"/>
    </w:p>
    <w:p w:rsidR="009E17BE" w:rsidRDefault="009E17BE" w:rsidP="0008463F">
      <w:pPr>
        <w:shd w:val="clear" w:color="auto" w:fill="FFFFFF"/>
        <w:tabs>
          <w:tab w:val="left" w:pos="0"/>
          <w:tab w:val="left" w:pos="851"/>
        </w:tabs>
        <w:spacing w:after="0" w:line="360" w:lineRule="auto"/>
        <w:rPr>
          <w:rFonts w:cs="Times New Roman"/>
          <w:sz w:val="24"/>
          <w:szCs w:val="24"/>
          <w:shd w:val="clear" w:color="auto" w:fill="FFFFFF"/>
        </w:rPr>
      </w:pPr>
    </w:p>
    <w:p w:rsidR="009E17BE" w:rsidRDefault="006D193E" w:rsidP="0008463F">
      <w:pPr>
        <w:shd w:val="clear" w:color="auto" w:fill="FFFFFF"/>
        <w:tabs>
          <w:tab w:val="left" w:pos="0"/>
          <w:tab w:val="left" w:pos="851"/>
        </w:tabs>
        <w:spacing w:after="0" w:line="360" w:lineRule="auto"/>
        <w:rPr>
          <w:rFonts w:cs="Times New Roman"/>
          <w:sz w:val="24"/>
          <w:szCs w:val="24"/>
          <w:shd w:val="clear" w:color="auto" w:fill="FFFFFF"/>
        </w:rPr>
      </w:pPr>
      <w:r w:rsidRPr="006D193E">
        <w:rPr>
          <w:rFonts w:cs="Times New Roman"/>
          <w:sz w:val="24"/>
          <w:szCs w:val="24"/>
          <w:shd w:val="clear" w:color="auto" w:fill="FFFFFF"/>
          <w:lang w:val="es-ES"/>
        </w:rPr>
        <w:t>El propósito de nuestro estudio es evaluar los cambios que se están produciendo en el sector real de la economía en el mundo y determinar el impacto de la propagación del coronavirus en el estado de determinadas industrias.</w:t>
      </w:r>
    </w:p>
    <w:p w:rsidR="006D193E" w:rsidRDefault="00BC4BFF" w:rsidP="0008463F">
      <w:pPr>
        <w:shd w:val="clear" w:color="auto" w:fill="FFFFFF"/>
        <w:tabs>
          <w:tab w:val="left" w:pos="0"/>
          <w:tab w:val="left" w:pos="851"/>
        </w:tabs>
        <w:spacing w:after="0" w:line="360" w:lineRule="auto"/>
        <w:rPr>
          <w:rFonts w:cs="Times New Roman"/>
          <w:sz w:val="24"/>
          <w:szCs w:val="24"/>
          <w:shd w:val="clear" w:color="auto" w:fill="FFFFFF"/>
        </w:rPr>
      </w:pPr>
      <w:r w:rsidRPr="00BC4BFF">
        <w:rPr>
          <w:rFonts w:cs="Times New Roman"/>
          <w:sz w:val="24"/>
          <w:szCs w:val="24"/>
          <w:shd w:val="clear" w:color="auto" w:fill="FFFFFF"/>
          <w:lang w:val="es-ES"/>
        </w:rPr>
        <w:t>Los fenómenos de crisis provocados por la pandemia requieren la adopción de medidas no tradicionales para apoyar al sector real de la economía. Los participantes en la economía no pueden seguir su curso, a voluntad de la libre influencia del mercado. De hecho, reciben asistencia al estilo de una economía administrativa planificada, mientras que los reguladores ignoran la ideología fundamental de las relaciones de mercado, porque incluso las medidas de asistencia no relacionadas con el mercado proporcionadas oportunamente son críticas y las consideraciones pragmáticas se vuelven decisivas.</w:t>
      </w:r>
    </w:p>
    <w:p w:rsidR="00BC4BFF" w:rsidRDefault="00BC4BFF" w:rsidP="0008463F">
      <w:pPr>
        <w:shd w:val="clear" w:color="auto" w:fill="FFFFFF"/>
        <w:tabs>
          <w:tab w:val="left" w:pos="0"/>
          <w:tab w:val="left" w:pos="851"/>
        </w:tabs>
        <w:spacing w:after="0" w:line="360" w:lineRule="auto"/>
        <w:rPr>
          <w:rFonts w:cs="Times New Roman"/>
          <w:sz w:val="24"/>
          <w:szCs w:val="24"/>
          <w:shd w:val="clear" w:color="auto" w:fill="FFFFFF"/>
        </w:rPr>
      </w:pPr>
      <w:r w:rsidRPr="00BC4BFF">
        <w:rPr>
          <w:rFonts w:cs="Times New Roman"/>
          <w:sz w:val="24"/>
          <w:szCs w:val="24"/>
          <w:shd w:val="clear" w:color="auto" w:fill="FFFFFF"/>
          <w:lang w:val="es-ES"/>
        </w:rPr>
        <w:t xml:space="preserve">Las medidas de emergencia tomadas por los reguladores para proteger la economía en diferentes países difieren según el volumen, la estructura de la economía y la legislación nacional (tradiciones). Por tanto, las medidas para regular la economía estadounidense son principalmente de naturaleza monetaria. El énfasis de las medidas anticrisis de la UE se concentra en los instrumentos crediticios o en el cambio en el cumplimiento de las obligaciones a lo largo del tiempo. En el Reino Unido, las medidas anticrisis se centran en aliviar las condiciones crediticias. China se está centrando en medidas para restaurar la actividad inversora en la economía. Las características comunes de las medidas de apoyo a la economía son la falta de </w:t>
      </w:r>
      <w:r w:rsidRPr="00BC4BFF">
        <w:rPr>
          <w:rFonts w:cs="Times New Roman"/>
          <w:sz w:val="24"/>
          <w:szCs w:val="24"/>
          <w:shd w:val="clear" w:color="auto" w:fill="FFFFFF"/>
          <w:lang w:val="es-ES"/>
        </w:rPr>
        <w:lastRenderedPageBreak/>
        <w:t>asistencia gratuita, una combinación de medidas fiscales y crediticias, una combinación de medidas destinadas tanto a la producción como al consumo del producto interno bruto y la dirección del apoyo proporcionado.</w:t>
      </w:r>
    </w:p>
    <w:p w:rsidR="00BC4BFF" w:rsidRDefault="00AD0701" w:rsidP="0008463F">
      <w:pPr>
        <w:shd w:val="clear" w:color="auto" w:fill="FFFFFF"/>
        <w:tabs>
          <w:tab w:val="left" w:pos="0"/>
          <w:tab w:val="left" w:pos="851"/>
        </w:tabs>
        <w:spacing w:after="0" w:line="360" w:lineRule="auto"/>
        <w:rPr>
          <w:rFonts w:cs="Times New Roman"/>
          <w:sz w:val="24"/>
          <w:szCs w:val="24"/>
          <w:shd w:val="clear" w:color="auto" w:fill="FFFFFF"/>
        </w:rPr>
      </w:pPr>
      <w:r w:rsidRPr="00AD0701">
        <w:rPr>
          <w:rFonts w:cs="Times New Roman"/>
          <w:sz w:val="24"/>
          <w:szCs w:val="24"/>
          <w:shd w:val="clear" w:color="auto" w:fill="FFFFFF"/>
          <w:lang w:val="es-ES"/>
        </w:rPr>
        <w:t>Ha habido tendencias en la desglobalización de la economía como resultado de la pandemia y las crecientes tendencias de regionalización y proteccionismo, así como la transición a una estructura bipolar de la economía mundial.</w:t>
      </w:r>
    </w:p>
    <w:p w:rsidR="00AD0701" w:rsidRDefault="00AD0701" w:rsidP="0008463F">
      <w:pPr>
        <w:shd w:val="clear" w:color="auto" w:fill="FFFFFF"/>
        <w:tabs>
          <w:tab w:val="left" w:pos="0"/>
          <w:tab w:val="left" w:pos="851"/>
        </w:tabs>
        <w:spacing w:after="0" w:line="360" w:lineRule="auto"/>
        <w:rPr>
          <w:rFonts w:cs="Times New Roman"/>
          <w:sz w:val="24"/>
          <w:szCs w:val="24"/>
          <w:shd w:val="clear" w:color="auto" w:fill="FFFFFF"/>
        </w:rPr>
      </w:pPr>
      <w:r w:rsidRPr="00AD0701">
        <w:rPr>
          <w:rFonts w:cs="Times New Roman"/>
          <w:sz w:val="24"/>
          <w:szCs w:val="24"/>
          <w:shd w:val="clear" w:color="auto" w:fill="FFFFFF"/>
          <w:lang w:val="es-ES"/>
        </w:rPr>
        <w:t>La pandemia de coronavirus ha demostrado que los países, las empresas y las sociedades deben aprender a vivir lo suficiente en aislamiento económico. En tal contexto geoeconómico, es poco probable que los países vuelvan a la idea de una globalización mutuamente beneficiosa. En ausencia de incentivos para proteger los beneficios comunes de la integración económica global, toda la arquitectura financiera y económica mundial pasará a un nuevo formato de vínculos económicos y financieros internacionales.</w:t>
      </w:r>
    </w:p>
    <w:p w:rsidR="00AD0701" w:rsidRDefault="00AD0701" w:rsidP="0008463F">
      <w:pPr>
        <w:shd w:val="clear" w:color="auto" w:fill="FFFFFF"/>
        <w:tabs>
          <w:tab w:val="left" w:pos="0"/>
          <w:tab w:val="left" w:pos="851"/>
        </w:tabs>
        <w:spacing w:after="0" w:line="360" w:lineRule="auto"/>
        <w:rPr>
          <w:rFonts w:cs="Times New Roman"/>
          <w:sz w:val="24"/>
          <w:szCs w:val="24"/>
          <w:shd w:val="clear" w:color="auto" w:fill="FFFFFF"/>
        </w:rPr>
      </w:pPr>
      <w:r w:rsidRPr="00AD0701">
        <w:rPr>
          <w:rFonts w:cs="Times New Roman"/>
          <w:sz w:val="24"/>
          <w:szCs w:val="24"/>
          <w:shd w:val="clear" w:color="auto" w:fill="FFFFFF"/>
          <w:lang w:val="es-ES"/>
        </w:rPr>
        <w:t>La pandemia ha socavado los principios básicos del funcionamiento de la economía mundial durante el período de globalización. A raíz de la pandemia y la crisis, las empresas tendrán que repensar la organización de la producción y la distribución en base a las cadenas de suministro multinacionales creadas por las corporaciones reduciendo el número de eslabones en estas cadenas y eligiendo entre eficiencia y estabilidad. Se ampliará la intervención del gobierno en la organización del trabajo de industrias y empresas estratégicas, así como de instituciones financieras de importancia sistémica.</w:t>
      </w:r>
    </w:p>
    <w:p w:rsidR="00AD0701" w:rsidRDefault="00AD0701" w:rsidP="0008463F">
      <w:pPr>
        <w:shd w:val="clear" w:color="auto" w:fill="FFFFFF"/>
        <w:tabs>
          <w:tab w:val="left" w:pos="0"/>
          <w:tab w:val="left" w:pos="851"/>
        </w:tabs>
        <w:spacing w:after="0" w:line="360" w:lineRule="auto"/>
        <w:rPr>
          <w:rFonts w:cs="Times New Roman"/>
          <w:sz w:val="24"/>
          <w:szCs w:val="24"/>
          <w:shd w:val="clear" w:color="auto" w:fill="FFFFFF"/>
        </w:rPr>
      </w:pPr>
    </w:p>
    <w:p w:rsidR="00AD0701" w:rsidRDefault="00AD0701" w:rsidP="00AD0701">
      <w:pPr>
        <w:shd w:val="clear" w:color="auto" w:fill="FFFFFF"/>
        <w:tabs>
          <w:tab w:val="left" w:pos="0"/>
          <w:tab w:val="left" w:pos="851"/>
        </w:tabs>
        <w:spacing w:after="0" w:line="360" w:lineRule="auto"/>
        <w:jc w:val="center"/>
        <w:rPr>
          <w:rFonts w:cs="Times New Roman"/>
          <w:sz w:val="24"/>
          <w:szCs w:val="24"/>
          <w:shd w:val="clear" w:color="auto" w:fill="FFFFFF"/>
        </w:rPr>
      </w:pPr>
      <w:proofErr w:type="spellStart"/>
      <w:r w:rsidRPr="00AD0701">
        <w:rPr>
          <w:rFonts w:cs="Times New Roman"/>
          <w:b/>
          <w:sz w:val="24"/>
          <w:szCs w:val="24"/>
          <w:shd w:val="clear" w:color="auto" w:fill="FFFFFF"/>
        </w:rPr>
        <w:t>Metodología</w:t>
      </w:r>
      <w:proofErr w:type="spellEnd"/>
    </w:p>
    <w:p w:rsidR="00AD0701" w:rsidRDefault="00AD0701" w:rsidP="0008463F">
      <w:pPr>
        <w:shd w:val="clear" w:color="auto" w:fill="FFFFFF"/>
        <w:tabs>
          <w:tab w:val="left" w:pos="0"/>
          <w:tab w:val="left" w:pos="851"/>
        </w:tabs>
        <w:spacing w:after="0" w:line="360" w:lineRule="auto"/>
        <w:rPr>
          <w:rFonts w:cs="Times New Roman"/>
          <w:sz w:val="24"/>
          <w:szCs w:val="24"/>
          <w:shd w:val="clear" w:color="auto" w:fill="FFFFFF"/>
        </w:rPr>
      </w:pPr>
    </w:p>
    <w:p w:rsidR="00AD0701" w:rsidRDefault="003A3C7D" w:rsidP="0008463F">
      <w:pPr>
        <w:shd w:val="clear" w:color="auto" w:fill="FFFFFF"/>
        <w:tabs>
          <w:tab w:val="left" w:pos="0"/>
          <w:tab w:val="left" w:pos="851"/>
        </w:tabs>
        <w:spacing w:after="0" w:line="360" w:lineRule="auto"/>
        <w:rPr>
          <w:rFonts w:cs="Times New Roman"/>
          <w:sz w:val="24"/>
          <w:szCs w:val="24"/>
          <w:shd w:val="clear" w:color="auto" w:fill="FFFFFF"/>
        </w:rPr>
      </w:pPr>
      <w:r w:rsidRPr="003A3C7D">
        <w:rPr>
          <w:rFonts w:cs="Times New Roman"/>
          <w:sz w:val="24"/>
          <w:szCs w:val="24"/>
          <w:shd w:val="clear" w:color="auto" w:fill="FFFFFF"/>
          <w:lang w:val="es-ES"/>
        </w:rPr>
        <w:t>Nuestra investigación se basa en el análisis de datos de estadísticas macroeconómicas sobre la tasa de incidencia, los cambios en el producto interno bruto (PIB), el valor agregado bruto, asimismo por industria.</w:t>
      </w:r>
    </w:p>
    <w:p w:rsidR="003A3C7D" w:rsidRDefault="003A3C7D" w:rsidP="0008463F">
      <w:pPr>
        <w:shd w:val="clear" w:color="auto" w:fill="FFFFFF"/>
        <w:tabs>
          <w:tab w:val="left" w:pos="0"/>
          <w:tab w:val="left" w:pos="851"/>
        </w:tabs>
        <w:spacing w:after="0" w:line="360" w:lineRule="auto"/>
        <w:rPr>
          <w:rFonts w:cs="Times New Roman"/>
          <w:sz w:val="24"/>
          <w:szCs w:val="24"/>
          <w:shd w:val="clear" w:color="auto" w:fill="FFFFFF"/>
        </w:rPr>
      </w:pPr>
      <w:r w:rsidRPr="003A3C7D">
        <w:rPr>
          <w:rFonts w:cs="Times New Roman"/>
          <w:sz w:val="24"/>
          <w:szCs w:val="24"/>
          <w:shd w:val="clear" w:color="auto" w:fill="FFFFFF"/>
          <w:lang w:val="es-ES"/>
        </w:rPr>
        <w:t>Métodos de investigación: análisis estadístico, análisis comparativo, comparación de costos y beneficios económicos, análisis crítico de teorías económicas, enfoque histórico, método de abstracción.</w:t>
      </w:r>
    </w:p>
    <w:p w:rsidR="003A3C7D" w:rsidRDefault="00542720" w:rsidP="0008463F">
      <w:pPr>
        <w:shd w:val="clear" w:color="auto" w:fill="FFFFFF"/>
        <w:tabs>
          <w:tab w:val="left" w:pos="0"/>
          <w:tab w:val="left" w:pos="851"/>
        </w:tabs>
        <w:spacing w:after="0" w:line="360" w:lineRule="auto"/>
        <w:rPr>
          <w:rFonts w:cs="Times New Roman"/>
          <w:sz w:val="24"/>
          <w:szCs w:val="24"/>
          <w:shd w:val="clear" w:color="auto" w:fill="FFFFFF"/>
        </w:rPr>
      </w:pPr>
      <w:r w:rsidRPr="00542720">
        <w:rPr>
          <w:rFonts w:cs="Times New Roman"/>
          <w:sz w:val="24"/>
          <w:szCs w:val="24"/>
          <w:shd w:val="clear" w:color="auto" w:fill="FFFFFF"/>
          <w:lang w:val="es-ES"/>
        </w:rPr>
        <w:t>Recopilación de información sobre las medidas (restricciones) tomadas para proteger a la población, el estado de la economía durante una pandemia en diferentes países.</w:t>
      </w:r>
    </w:p>
    <w:p w:rsidR="006845EE" w:rsidRPr="006845EE" w:rsidRDefault="006845EE" w:rsidP="006845EE">
      <w:pPr>
        <w:shd w:val="clear" w:color="auto" w:fill="FFFFFF"/>
        <w:tabs>
          <w:tab w:val="left" w:pos="0"/>
          <w:tab w:val="left" w:pos="851"/>
        </w:tabs>
        <w:spacing w:after="0" w:line="360" w:lineRule="auto"/>
        <w:rPr>
          <w:rFonts w:cs="Times New Roman"/>
          <w:sz w:val="24"/>
          <w:szCs w:val="24"/>
          <w:shd w:val="clear" w:color="auto" w:fill="FFFFFF"/>
          <w:lang w:val="es-ES"/>
        </w:rPr>
      </w:pPr>
      <w:r w:rsidRPr="006845EE">
        <w:rPr>
          <w:rFonts w:cs="Times New Roman"/>
          <w:sz w:val="24"/>
          <w:szCs w:val="24"/>
          <w:shd w:val="clear" w:color="auto" w:fill="FFFFFF"/>
          <w:lang w:val="es-ES"/>
        </w:rPr>
        <w:t>Análisis de la relación entre la tasa de incidencia, las medidas tomadas por los gobiernos para controlar la incidencia y la tasa de declive económico.</w:t>
      </w:r>
    </w:p>
    <w:p w:rsidR="00542720" w:rsidRDefault="006845EE" w:rsidP="006845EE">
      <w:pPr>
        <w:shd w:val="clear" w:color="auto" w:fill="FFFFFF"/>
        <w:tabs>
          <w:tab w:val="left" w:pos="0"/>
          <w:tab w:val="left" w:pos="851"/>
        </w:tabs>
        <w:spacing w:after="0" w:line="360" w:lineRule="auto"/>
        <w:rPr>
          <w:rFonts w:cs="Times New Roman"/>
          <w:sz w:val="24"/>
          <w:szCs w:val="24"/>
          <w:shd w:val="clear" w:color="auto" w:fill="FFFFFF"/>
        </w:rPr>
      </w:pPr>
      <w:r w:rsidRPr="006845EE">
        <w:rPr>
          <w:rFonts w:cs="Times New Roman"/>
          <w:sz w:val="24"/>
          <w:szCs w:val="24"/>
          <w:shd w:val="clear" w:color="auto" w:fill="FFFFFF"/>
          <w:lang w:val="es-ES"/>
        </w:rPr>
        <w:t>Análisis de las diferencias en el estado de las economías desarrolladas y en desarrollo en una pandemia.</w:t>
      </w:r>
    </w:p>
    <w:p w:rsidR="006845EE" w:rsidRDefault="006845EE" w:rsidP="006845EE">
      <w:pPr>
        <w:shd w:val="clear" w:color="auto" w:fill="FFFFFF"/>
        <w:tabs>
          <w:tab w:val="left" w:pos="0"/>
          <w:tab w:val="left" w:pos="851"/>
        </w:tabs>
        <w:spacing w:after="0" w:line="360" w:lineRule="auto"/>
        <w:rPr>
          <w:rFonts w:cs="Times New Roman"/>
          <w:sz w:val="24"/>
          <w:szCs w:val="24"/>
          <w:shd w:val="clear" w:color="auto" w:fill="FFFFFF"/>
        </w:rPr>
      </w:pPr>
    </w:p>
    <w:p w:rsidR="006845EE" w:rsidRDefault="009A6713" w:rsidP="00097A63">
      <w:pPr>
        <w:shd w:val="clear" w:color="auto" w:fill="FFFFFF"/>
        <w:tabs>
          <w:tab w:val="left" w:pos="0"/>
          <w:tab w:val="left" w:pos="851"/>
        </w:tabs>
        <w:spacing w:after="0" w:line="360" w:lineRule="auto"/>
        <w:jc w:val="center"/>
        <w:rPr>
          <w:rFonts w:cs="Times New Roman"/>
          <w:b/>
          <w:sz w:val="24"/>
          <w:szCs w:val="24"/>
          <w:shd w:val="clear" w:color="auto" w:fill="FFFFFF"/>
          <w:lang w:val="es-ES"/>
        </w:rPr>
      </w:pPr>
      <w:r w:rsidRPr="00097A63">
        <w:rPr>
          <w:rFonts w:cs="Times New Roman"/>
          <w:b/>
          <w:sz w:val="24"/>
          <w:szCs w:val="24"/>
          <w:shd w:val="clear" w:color="auto" w:fill="FFFFFF"/>
          <w:lang w:val="es-ES"/>
        </w:rPr>
        <w:lastRenderedPageBreak/>
        <w:t>Índice por capítulos y temas del trabajo</w:t>
      </w:r>
    </w:p>
    <w:p w:rsidR="00AC7EB9" w:rsidRPr="00097A63" w:rsidRDefault="00AC7EB9" w:rsidP="00097A63">
      <w:pPr>
        <w:shd w:val="clear" w:color="auto" w:fill="FFFFFF"/>
        <w:tabs>
          <w:tab w:val="left" w:pos="0"/>
          <w:tab w:val="left" w:pos="851"/>
        </w:tabs>
        <w:spacing w:after="0" w:line="360" w:lineRule="auto"/>
        <w:jc w:val="center"/>
        <w:rPr>
          <w:rFonts w:cs="Times New Roman"/>
          <w:b/>
          <w:sz w:val="24"/>
          <w:szCs w:val="24"/>
          <w:shd w:val="clear" w:color="auto" w:fill="FFFFFF"/>
          <w:lang w:val="es-ES"/>
        </w:rPr>
      </w:pPr>
    </w:p>
    <w:p w:rsidR="009A6713" w:rsidRPr="000871C5" w:rsidRDefault="000871C5" w:rsidP="008A3CD3">
      <w:pPr>
        <w:pStyle w:val="a7"/>
        <w:numPr>
          <w:ilvl w:val="0"/>
          <w:numId w:val="38"/>
        </w:numPr>
        <w:shd w:val="clear" w:color="auto" w:fill="FFFFFF"/>
        <w:tabs>
          <w:tab w:val="left" w:pos="0"/>
          <w:tab w:val="left" w:pos="851"/>
        </w:tabs>
        <w:spacing w:after="0" w:line="360" w:lineRule="auto"/>
        <w:jc w:val="center"/>
        <w:rPr>
          <w:rFonts w:cs="Times New Roman"/>
          <w:sz w:val="24"/>
          <w:szCs w:val="24"/>
          <w:shd w:val="clear" w:color="auto" w:fill="FFFFFF"/>
          <w:lang w:val="es-ES"/>
        </w:rPr>
      </w:pPr>
      <w:r w:rsidRPr="000871C5">
        <w:rPr>
          <w:rFonts w:cs="Times New Roman"/>
          <w:sz w:val="24"/>
          <w:szCs w:val="24"/>
          <w:shd w:val="clear" w:color="auto" w:fill="FFFFFF"/>
          <w:lang w:val="es-ES"/>
        </w:rPr>
        <w:t>Regulación estatal anticrisis de la economía</w:t>
      </w:r>
    </w:p>
    <w:p w:rsidR="000871C5" w:rsidRPr="000871C5" w:rsidRDefault="000871C5" w:rsidP="000871C5">
      <w:pPr>
        <w:pStyle w:val="a7"/>
        <w:numPr>
          <w:ilvl w:val="1"/>
          <w:numId w:val="38"/>
        </w:numPr>
        <w:shd w:val="clear" w:color="auto" w:fill="FFFFFF"/>
        <w:tabs>
          <w:tab w:val="left" w:pos="0"/>
          <w:tab w:val="left" w:pos="851"/>
        </w:tabs>
        <w:spacing w:after="0" w:line="360" w:lineRule="auto"/>
        <w:jc w:val="center"/>
        <w:rPr>
          <w:rFonts w:cs="Times New Roman"/>
          <w:sz w:val="24"/>
          <w:szCs w:val="24"/>
          <w:shd w:val="clear" w:color="auto" w:fill="FFFFFF"/>
          <w:lang w:val="es-ES"/>
        </w:rPr>
      </w:pPr>
      <w:r w:rsidRPr="000871C5">
        <w:rPr>
          <w:rFonts w:cs="Times New Roman"/>
          <w:sz w:val="24"/>
          <w:szCs w:val="24"/>
          <w:shd w:val="clear" w:color="auto" w:fill="FFFFFF"/>
          <w:lang w:val="es-ES"/>
        </w:rPr>
        <w:t>Teorías tradicionales de la regulación estatal de la economía</w:t>
      </w:r>
    </w:p>
    <w:p w:rsidR="00EF57D9" w:rsidRDefault="00EF57D9" w:rsidP="00DB01D0">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p>
    <w:p w:rsidR="000871C5" w:rsidRPr="00EF57D9" w:rsidRDefault="00E536E3" w:rsidP="00DB01D0">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r w:rsidRPr="00E536E3">
        <w:rPr>
          <w:rFonts w:cs="Times New Roman"/>
          <w:sz w:val="24"/>
          <w:szCs w:val="24"/>
          <w:shd w:val="clear" w:color="auto" w:fill="FFFFFF"/>
          <w:lang w:val="es-ES"/>
        </w:rPr>
        <w:t>Esta sección examinará la teoría y los métodos de regulación estatal de la economía para prevenir crisis económicas.</w:t>
      </w:r>
    </w:p>
    <w:p w:rsidR="00EF57D9" w:rsidRDefault="00EF57D9" w:rsidP="00DB01D0">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p>
    <w:p w:rsidR="00E536E3" w:rsidRPr="00EF57D9" w:rsidRDefault="00780403" w:rsidP="00DB01D0">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r w:rsidRPr="00780403">
        <w:rPr>
          <w:rFonts w:cs="Times New Roman"/>
          <w:sz w:val="24"/>
          <w:szCs w:val="24"/>
          <w:shd w:val="clear" w:color="auto" w:fill="FFFFFF"/>
          <w:lang w:val="es-ES"/>
        </w:rPr>
        <w:t xml:space="preserve">La regulación estatal de la economía es un sistema de medidas legislativas, ejecutivas y regulatorias orientadas a la consecución de objetivos sociales y económicos, realizadas por organismos estatales autorizados en relación con las entidades económicas. </w:t>
      </w:r>
      <w:r w:rsidRPr="00EF57D9">
        <w:rPr>
          <w:rFonts w:cs="Times New Roman"/>
          <w:sz w:val="24"/>
          <w:szCs w:val="24"/>
          <w:shd w:val="clear" w:color="auto" w:fill="FFFFFF"/>
          <w:lang w:val="es-ES"/>
        </w:rPr>
        <w:t>El apoyo estatal es una medida de impacto positivo.</w:t>
      </w:r>
    </w:p>
    <w:p w:rsidR="00780403" w:rsidRPr="00A5063A" w:rsidRDefault="00A5063A" w:rsidP="00A5063A">
      <w:pPr>
        <w:pStyle w:val="a7"/>
        <w:shd w:val="clear" w:color="auto" w:fill="FFFFFF"/>
        <w:tabs>
          <w:tab w:val="left" w:pos="0"/>
          <w:tab w:val="left" w:pos="851"/>
        </w:tabs>
        <w:spacing w:after="0" w:line="360" w:lineRule="auto"/>
        <w:ind w:left="0"/>
        <w:jc w:val="center"/>
        <w:rPr>
          <w:rFonts w:cs="Times New Roman"/>
          <w:sz w:val="24"/>
          <w:szCs w:val="24"/>
          <w:shd w:val="clear" w:color="auto" w:fill="FFFFFF"/>
          <w:lang w:val="es-ES"/>
        </w:rPr>
      </w:pPr>
      <w:r w:rsidRPr="00A5063A">
        <w:rPr>
          <w:rFonts w:cs="Times New Roman"/>
          <w:sz w:val="24"/>
          <w:szCs w:val="24"/>
          <w:shd w:val="clear" w:color="auto" w:fill="FFFFFF"/>
          <w:lang w:val="es-ES"/>
        </w:rPr>
        <w:t>Teoría de Keynes de la regulación gubernamental</w:t>
      </w:r>
    </w:p>
    <w:p w:rsidR="00103CC9" w:rsidRDefault="00103CC9" w:rsidP="00DB01D0">
      <w:pPr>
        <w:pStyle w:val="a7"/>
        <w:shd w:val="clear" w:color="auto" w:fill="FFFFFF"/>
        <w:tabs>
          <w:tab w:val="left" w:pos="0"/>
          <w:tab w:val="left" w:pos="851"/>
        </w:tabs>
        <w:spacing w:after="0" w:line="360" w:lineRule="auto"/>
        <w:ind w:left="0"/>
        <w:rPr>
          <w:rFonts w:cs="Times New Roman"/>
          <w:sz w:val="24"/>
          <w:szCs w:val="24"/>
          <w:shd w:val="clear" w:color="auto" w:fill="FFFFFF"/>
        </w:rPr>
      </w:pPr>
      <w:r w:rsidRPr="00103CC9">
        <w:rPr>
          <w:rFonts w:cs="Times New Roman"/>
          <w:sz w:val="24"/>
          <w:szCs w:val="24"/>
          <w:shd w:val="clear" w:color="auto" w:fill="FFFFFF"/>
          <w:lang w:val="es-ES"/>
        </w:rPr>
        <w:t>La macroeconomía se destaca como una disciplina académica y como una esfera de influencia estatal a la economía. Se destacan las condiciones de crecimiento económico bajo la regulación estatal de la economía y la política de estabilización activa. El estado es capaz de gestionar el desarrollo de la economía utilizando instrumentos macroeconómicos para ello, ya que actúa tanto como agente económico como regulador del sistema económico.</w:t>
      </w:r>
      <w:r w:rsidR="00A157A1" w:rsidRPr="00A157A1">
        <w:rPr>
          <w:rFonts w:cs="Times New Roman"/>
          <w:sz w:val="24"/>
          <w:szCs w:val="24"/>
          <w:shd w:val="clear" w:color="auto" w:fill="FFFFFF"/>
          <w:lang w:val="es-ES"/>
        </w:rPr>
        <w:t xml:space="preserve"> </w:t>
      </w:r>
      <w:r w:rsidR="00AF4B69" w:rsidRPr="00AF4B69">
        <w:rPr>
          <w:rFonts w:cs="Times New Roman"/>
          <w:sz w:val="24"/>
          <w:szCs w:val="24"/>
          <w:shd w:val="clear" w:color="auto" w:fill="FFFFFF"/>
          <w:lang w:val="es-ES"/>
        </w:rPr>
        <w:t>El estado debe regular las cuestiones macroeconómicas del desarrollo económico a través de una política de estabilización en función de las condiciones actuales del mercado y las condiciones del mercado. Para evitar problemas macroeconómicos, fluctuaciones cíclicas en la actividad empresarial, fluctuaciones en la producción, fluctuaciones en los precios y el mercado laboral, crisis económicas y problemas estructurales posteriores a la crisis, es necesario que el estado intervenga activamente en el desarrollo económico de la economía nacional. Como resultado, es posible evitar la falta de demanda agregada, mantener el nivel de producción y el nivel de empleo de la población.</w:t>
      </w:r>
    </w:p>
    <w:p w:rsidR="00AF4B69" w:rsidRDefault="002A7391" w:rsidP="002A7391">
      <w:pPr>
        <w:pStyle w:val="a7"/>
        <w:shd w:val="clear" w:color="auto" w:fill="FFFFFF"/>
        <w:tabs>
          <w:tab w:val="left" w:pos="0"/>
          <w:tab w:val="left" w:pos="851"/>
        </w:tabs>
        <w:spacing w:after="0" w:line="360" w:lineRule="auto"/>
        <w:ind w:left="0"/>
        <w:jc w:val="center"/>
        <w:rPr>
          <w:rFonts w:cs="Times New Roman"/>
          <w:sz w:val="24"/>
          <w:szCs w:val="24"/>
          <w:shd w:val="clear" w:color="auto" w:fill="FFFFFF"/>
        </w:rPr>
      </w:pPr>
      <w:proofErr w:type="spellStart"/>
      <w:r w:rsidRPr="002A7391">
        <w:rPr>
          <w:rFonts w:cs="Times New Roman"/>
          <w:sz w:val="24"/>
          <w:szCs w:val="24"/>
          <w:shd w:val="clear" w:color="auto" w:fill="FFFFFF"/>
        </w:rPr>
        <w:t>La</w:t>
      </w:r>
      <w:proofErr w:type="spellEnd"/>
      <w:r w:rsidRPr="002A7391">
        <w:rPr>
          <w:rFonts w:cs="Times New Roman"/>
          <w:sz w:val="24"/>
          <w:szCs w:val="24"/>
          <w:shd w:val="clear" w:color="auto" w:fill="FFFFFF"/>
        </w:rPr>
        <w:t xml:space="preserve"> </w:t>
      </w:r>
      <w:proofErr w:type="spellStart"/>
      <w:r w:rsidRPr="002A7391">
        <w:rPr>
          <w:rFonts w:cs="Times New Roman"/>
          <w:sz w:val="24"/>
          <w:szCs w:val="24"/>
          <w:shd w:val="clear" w:color="auto" w:fill="FFFFFF"/>
        </w:rPr>
        <w:t>teoría</w:t>
      </w:r>
      <w:proofErr w:type="spellEnd"/>
      <w:r w:rsidRPr="002A7391">
        <w:rPr>
          <w:rFonts w:cs="Times New Roman"/>
          <w:sz w:val="24"/>
          <w:szCs w:val="24"/>
          <w:shd w:val="clear" w:color="auto" w:fill="FFFFFF"/>
        </w:rPr>
        <w:t xml:space="preserve"> </w:t>
      </w:r>
      <w:proofErr w:type="spellStart"/>
      <w:r w:rsidRPr="002A7391">
        <w:rPr>
          <w:rFonts w:cs="Times New Roman"/>
          <w:sz w:val="24"/>
          <w:szCs w:val="24"/>
          <w:shd w:val="clear" w:color="auto" w:fill="FFFFFF"/>
        </w:rPr>
        <w:t>monetaria</w:t>
      </w:r>
      <w:proofErr w:type="spellEnd"/>
      <w:r w:rsidRPr="002A7391">
        <w:rPr>
          <w:rFonts w:cs="Times New Roman"/>
          <w:sz w:val="24"/>
          <w:szCs w:val="24"/>
          <w:shd w:val="clear" w:color="auto" w:fill="FFFFFF"/>
        </w:rPr>
        <w:t xml:space="preserve"> </w:t>
      </w:r>
      <w:proofErr w:type="spellStart"/>
      <w:r w:rsidRPr="002A7391">
        <w:rPr>
          <w:rFonts w:cs="Times New Roman"/>
          <w:sz w:val="24"/>
          <w:szCs w:val="24"/>
          <w:shd w:val="clear" w:color="auto" w:fill="FFFFFF"/>
        </w:rPr>
        <w:t>de</w:t>
      </w:r>
      <w:proofErr w:type="spellEnd"/>
      <w:r w:rsidRPr="002A7391">
        <w:rPr>
          <w:rFonts w:cs="Times New Roman"/>
          <w:sz w:val="24"/>
          <w:szCs w:val="24"/>
          <w:shd w:val="clear" w:color="auto" w:fill="FFFFFF"/>
        </w:rPr>
        <w:t xml:space="preserve"> </w:t>
      </w:r>
      <w:proofErr w:type="spellStart"/>
      <w:r w:rsidRPr="002A7391">
        <w:rPr>
          <w:rFonts w:cs="Times New Roman"/>
          <w:sz w:val="24"/>
          <w:szCs w:val="24"/>
          <w:shd w:val="clear" w:color="auto" w:fill="FFFFFF"/>
        </w:rPr>
        <w:t>Friedman</w:t>
      </w:r>
      <w:proofErr w:type="spellEnd"/>
    </w:p>
    <w:p w:rsidR="00204780" w:rsidRDefault="00204780" w:rsidP="00DB01D0">
      <w:pPr>
        <w:pStyle w:val="a7"/>
        <w:shd w:val="clear" w:color="auto" w:fill="FFFFFF"/>
        <w:tabs>
          <w:tab w:val="left" w:pos="0"/>
          <w:tab w:val="left" w:pos="851"/>
        </w:tabs>
        <w:spacing w:after="0" w:line="360" w:lineRule="auto"/>
        <w:ind w:left="0"/>
        <w:rPr>
          <w:rFonts w:cs="Times New Roman"/>
          <w:sz w:val="24"/>
          <w:szCs w:val="24"/>
          <w:shd w:val="clear" w:color="auto" w:fill="FFFFFF"/>
        </w:rPr>
      </w:pPr>
      <w:r w:rsidRPr="00204780">
        <w:rPr>
          <w:rFonts w:cs="Times New Roman"/>
          <w:sz w:val="24"/>
          <w:szCs w:val="24"/>
          <w:shd w:val="clear" w:color="auto" w:fill="FFFFFF"/>
          <w:lang w:val="es-ES"/>
        </w:rPr>
        <w:t xml:space="preserve">Las fluctuaciones en la demanda de oferta monetaria indican la inestabilidad de la economía. Las fluctuaciones bruscas y repentinas provocan procesos negativos en los niveles de precios y volúmenes de producción. Para estabilizar la economía, el gobierno debe tomar medidas para eliminar las fluctuaciones en la demanda agregada de oferta monetaria generada por la población del país. No existe una regulación estatal de la economía como tal. La demanda de dinero es estable, por lo que el gobierno debe implementar medidas para mantener una oferta de dinero estable. Si la demanda de dinero es estable, entonces el crecimiento de la oferta monetaria conduce a un aumento del gasto de los hogares. Lo contrario también es cierto en la teoría monetaria. Los monetaristas consideran indeseable cualquier otra interferencia del Estado en la </w:t>
      </w:r>
      <w:r w:rsidRPr="00204780">
        <w:rPr>
          <w:rFonts w:cs="Times New Roman"/>
          <w:sz w:val="24"/>
          <w:szCs w:val="24"/>
          <w:shd w:val="clear" w:color="auto" w:fill="FFFFFF"/>
          <w:lang w:val="es-ES"/>
        </w:rPr>
        <w:lastRenderedPageBreak/>
        <w:t>economía. El gobierno, con sus acciones ineptas encaminadas a lograr una mayor estabilidad a través de la política monetaria, solo refuerza el carácter cíclico de la economía. Los monetaristas, considerándose los más inteligentes, limitan el papel regulador del Estado en la economía sólo a la circulación monetaria, y "el mercado regulará todo lo demás", mientras que las causas de las crisis son la presencia del Estado en la economía.</w:t>
      </w:r>
    </w:p>
    <w:p w:rsidR="00204780" w:rsidRDefault="00A157A1" w:rsidP="00A157A1">
      <w:pPr>
        <w:pStyle w:val="a7"/>
        <w:shd w:val="clear" w:color="auto" w:fill="FFFFFF"/>
        <w:tabs>
          <w:tab w:val="left" w:pos="0"/>
          <w:tab w:val="left" w:pos="851"/>
        </w:tabs>
        <w:spacing w:after="0" w:line="360" w:lineRule="auto"/>
        <w:ind w:left="0"/>
        <w:jc w:val="center"/>
        <w:rPr>
          <w:rFonts w:cs="Times New Roman"/>
          <w:sz w:val="24"/>
          <w:szCs w:val="24"/>
          <w:shd w:val="clear" w:color="auto" w:fill="FFFFFF"/>
        </w:rPr>
      </w:pPr>
      <w:proofErr w:type="spellStart"/>
      <w:r w:rsidRPr="00A157A1">
        <w:rPr>
          <w:rFonts w:cs="Times New Roman"/>
          <w:sz w:val="24"/>
          <w:szCs w:val="24"/>
          <w:shd w:val="clear" w:color="auto" w:fill="FFFFFF"/>
        </w:rPr>
        <w:t>Teoría</w:t>
      </w:r>
      <w:proofErr w:type="spellEnd"/>
      <w:r w:rsidRPr="00A157A1">
        <w:rPr>
          <w:rFonts w:cs="Times New Roman"/>
          <w:sz w:val="24"/>
          <w:szCs w:val="24"/>
          <w:shd w:val="clear" w:color="auto" w:fill="FFFFFF"/>
        </w:rPr>
        <w:t xml:space="preserve"> </w:t>
      </w:r>
      <w:proofErr w:type="spellStart"/>
      <w:r w:rsidRPr="00A157A1">
        <w:rPr>
          <w:rFonts w:cs="Times New Roman"/>
          <w:sz w:val="24"/>
          <w:szCs w:val="24"/>
          <w:shd w:val="clear" w:color="auto" w:fill="FFFFFF"/>
        </w:rPr>
        <w:t>del</w:t>
      </w:r>
      <w:proofErr w:type="spellEnd"/>
      <w:r w:rsidRPr="00A157A1">
        <w:rPr>
          <w:rFonts w:cs="Times New Roman"/>
          <w:sz w:val="24"/>
          <w:szCs w:val="24"/>
          <w:shd w:val="clear" w:color="auto" w:fill="FFFFFF"/>
        </w:rPr>
        <w:t xml:space="preserve"> </w:t>
      </w:r>
      <w:proofErr w:type="spellStart"/>
      <w:r w:rsidRPr="00A157A1">
        <w:rPr>
          <w:rFonts w:cs="Times New Roman"/>
          <w:sz w:val="24"/>
          <w:szCs w:val="24"/>
          <w:shd w:val="clear" w:color="auto" w:fill="FFFFFF"/>
        </w:rPr>
        <w:t>institucionalismo</w:t>
      </w:r>
      <w:proofErr w:type="spellEnd"/>
    </w:p>
    <w:p w:rsidR="00A157A1" w:rsidRDefault="009977B9" w:rsidP="00DB01D0">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r w:rsidRPr="009977B9">
        <w:rPr>
          <w:rFonts w:cs="Times New Roman"/>
          <w:sz w:val="24"/>
          <w:szCs w:val="24"/>
          <w:shd w:val="clear" w:color="auto" w:fill="FFFFFF"/>
          <w:lang w:val="es-ES"/>
        </w:rPr>
        <w:t xml:space="preserve">Los problemas de la intervención estatal en la economía también se incluyeron en el concepto de institucionalismo. El estado debería tener un impacto significativo en la economía. Veblen creía que "bajo el gobierno debería haber una especie de "centro cerebral" que consiste en intelectuales, especialistas técnicos, promoviendo actividades más racionales del estado". </w:t>
      </w:r>
      <w:r w:rsidR="00877BA1" w:rsidRPr="00877BA1">
        <w:rPr>
          <w:rFonts w:cs="Times New Roman"/>
          <w:sz w:val="24"/>
          <w:szCs w:val="24"/>
          <w:shd w:val="clear" w:color="auto" w:fill="FFFFFF"/>
          <w:lang w:val="es-ES"/>
        </w:rPr>
        <w:t xml:space="preserve">El institucionalismo se caracteriza por una actitud de apoyo hacia la intervención gubernamental eficaz y reflexiva en el sistema económico nacional. El sistema económico está evolucionando y los procesos económicos son de naturaleza acumulativa, que gobiernan el sistema en su conjunto, y el desarrollo económico debe estar determinado por la influencia mutua de varios fenómenos económicos, que son interdependientes y se refuerzan mutuamente. </w:t>
      </w:r>
      <w:r w:rsidR="008A3CD3" w:rsidRPr="008A3CD3">
        <w:rPr>
          <w:rFonts w:cs="Times New Roman"/>
          <w:sz w:val="24"/>
          <w:szCs w:val="24"/>
          <w:shd w:val="clear" w:color="auto" w:fill="FFFFFF"/>
          <w:lang w:val="es-ES"/>
        </w:rPr>
        <w:t>Por tanto, el estado y las instituciones estatales pueden gestionar el sistema económico, a través de la gestión de los procesos económicos individuales, y no al revés. Se propuso llevar a cabo la regulación estatal de la economía teniendo en cuenta solo aquellos factores que pudieran ser tomados en cuenta: inflación, desempleo, crisis, inestabilidad política, etc. El institucionalismo sostiene que los precios son mucho más conservadores que la oferta, la demanda y las condiciones del mercado porque, a pesar de los cambios en la situación del mercado, los precios a menudo no cambian. Por tanto, la tarea del Estado no es controlar los precios o frenar la inflación, sino regular la demanda, la oferta, etc. mediante el uso de instrumentos de políticas estabilizadoras, estimulantes o contractivas.</w:t>
      </w:r>
    </w:p>
    <w:p w:rsidR="00AC7EB9" w:rsidRDefault="00AC7EB9" w:rsidP="00DB01D0">
      <w:pPr>
        <w:pStyle w:val="a7"/>
        <w:shd w:val="clear" w:color="auto" w:fill="FFFFFF"/>
        <w:tabs>
          <w:tab w:val="left" w:pos="0"/>
          <w:tab w:val="left" w:pos="851"/>
        </w:tabs>
        <w:spacing w:after="0" w:line="360" w:lineRule="auto"/>
        <w:ind w:left="0"/>
        <w:rPr>
          <w:rFonts w:cs="Times New Roman"/>
          <w:sz w:val="24"/>
          <w:szCs w:val="24"/>
          <w:shd w:val="clear" w:color="auto" w:fill="FFFFFF"/>
        </w:rPr>
      </w:pPr>
    </w:p>
    <w:p w:rsidR="008A3CD3" w:rsidRPr="008A3CD3" w:rsidRDefault="008A3CD3" w:rsidP="008A3CD3">
      <w:pPr>
        <w:pStyle w:val="a7"/>
        <w:numPr>
          <w:ilvl w:val="1"/>
          <w:numId w:val="38"/>
        </w:numPr>
        <w:shd w:val="clear" w:color="auto" w:fill="FFFFFF"/>
        <w:tabs>
          <w:tab w:val="left" w:pos="0"/>
          <w:tab w:val="left" w:pos="851"/>
        </w:tabs>
        <w:spacing w:after="0" w:line="360" w:lineRule="auto"/>
        <w:jc w:val="center"/>
        <w:rPr>
          <w:rFonts w:cs="Times New Roman"/>
          <w:sz w:val="24"/>
          <w:szCs w:val="24"/>
          <w:shd w:val="clear" w:color="auto" w:fill="FFFFFF"/>
          <w:lang w:val="es-ES"/>
        </w:rPr>
      </w:pPr>
      <w:r w:rsidRPr="008A3CD3">
        <w:rPr>
          <w:rFonts w:cs="Times New Roman"/>
          <w:sz w:val="24"/>
          <w:szCs w:val="24"/>
          <w:shd w:val="clear" w:color="auto" w:fill="FFFFFF"/>
          <w:lang w:val="es-ES"/>
        </w:rPr>
        <w:t>Regulación estatal de la economía en el contexto de la crisis global</w:t>
      </w:r>
    </w:p>
    <w:p w:rsidR="00EF57D9" w:rsidRDefault="00EF57D9" w:rsidP="008A3CD3">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p>
    <w:p w:rsidR="008A3CD3" w:rsidRPr="00EF57D9" w:rsidRDefault="000D6285" w:rsidP="008A3CD3">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r w:rsidRPr="000D6285">
        <w:rPr>
          <w:rFonts w:cs="Times New Roman"/>
          <w:sz w:val="24"/>
          <w:szCs w:val="24"/>
          <w:shd w:val="clear" w:color="auto" w:fill="FFFFFF"/>
          <w:lang w:val="es-ES"/>
        </w:rPr>
        <w:t>Esta sección analizará los métodos de regulación estatal de la economía en el contexto de la crisis global utilizando el ejemplo de la crisis de 2008-2009.</w:t>
      </w:r>
    </w:p>
    <w:p w:rsidR="00EF57D9" w:rsidRDefault="00EF57D9" w:rsidP="008A3CD3">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p>
    <w:p w:rsidR="000D6285" w:rsidRPr="00396241" w:rsidRDefault="00E63601" w:rsidP="008A3CD3">
      <w:pPr>
        <w:pStyle w:val="a7"/>
        <w:shd w:val="clear" w:color="auto" w:fill="FFFFFF"/>
        <w:tabs>
          <w:tab w:val="left" w:pos="0"/>
          <w:tab w:val="left" w:pos="851"/>
        </w:tabs>
        <w:spacing w:after="0" w:line="360" w:lineRule="auto"/>
        <w:ind w:left="0"/>
        <w:rPr>
          <w:rFonts w:cs="Times New Roman"/>
          <w:sz w:val="24"/>
          <w:szCs w:val="24"/>
          <w:shd w:val="clear" w:color="auto" w:fill="FFFFFF"/>
          <w:lang w:val="es-ES"/>
        </w:rPr>
      </w:pPr>
      <w:r w:rsidRPr="00E63601">
        <w:rPr>
          <w:rFonts w:cs="Times New Roman"/>
          <w:sz w:val="24"/>
          <w:szCs w:val="24"/>
          <w:shd w:val="clear" w:color="auto" w:fill="FFFFFF"/>
          <w:lang w:val="es-ES"/>
        </w:rPr>
        <w:t>La regulación anticrisis es una política de gobierno que tiene como objetivo proteger frente a situaciones de crisis y prevenir la insolvencia de las empresas y, por tanto, de todos los ciudadanos del país. Se trata de una política que construye formas de maximizar el uso del potencial científico y tecnológico y de introducir formas innovadoras de desarrollo en todas las áreas de actividad.</w:t>
      </w:r>
      <w:r w:rsidR="00396241" w:rsidRPr="00396241">
        <w:rPr>
          <w:rFonts w:cs="Times New Roman"/>
          <w:sz w:val="24"/>
          <w:szCs w:val="24"/>
          <w:shd w:val="clear" w:color="auto" w:fill="FFFFFF"/>
          <w:lang w:val="es-ES"/>
        </w:rPr>
        <w:t xml:space="preserve"> Además, la regulación anticrisis debe basarse en la experiencia previa no solo </w:t>
      </w:r>
      <w:r w:rsidR="00396241" w:rsidRPr="00396241">
        <w:rPr>
          <w:rFonts w:cs="Times New Roman"/>
          <w:sz w:val="24"/>
          <w:szCs w:val="24"/>
          <w:shd w:val="clear" w:color="auto" w:fill="FFFFFF"/>
          <w:lang w:val="es-ES"/>
        </w:rPr>
        <w:lastRenderedPageBreak/>
        <w:t>de su propio país, sino también del mundial. Se debe desarrollar una política de medidas anticrisis sobre la base del conocimiento adquirido en el pasado: qué crisis ocurrieron, cuál fue la ciclicidad empresarial, qué tipo de consecuencias se causaron (tanto negativas como positivas). De hecho, a menudo una crisis es el comienzo de un nuevo vector, el reemplazo de tecnologías obsoletas por modernas. Por eso es necesario un diagnóstico completo de todos los aspectos posibles.</w:t>
      </w:r>
    </w:p>
    <w:p w:rsidR="00396241" w:rsidRPr="00396241" w:rsidRDefault="00396241" w:rsidP="00396241">
      <w:pPr>
        <w:shd w:val="clear" w:color="auto" w:fill="FFFFFF"/>
        <w:tabs>
          <w:tab w:val="left" w:pos="0"/>
          <w:tab w:val="left" w:pos="851"/>
        </w:tabs>
        <w:spacing w:after="0" w:line="360" w:lineRule="auto"/>
        <w:rPr>
          <w:rFonts w:cs="Times New Roman"/>
          <w:sz w:val="24"/>
          <w:szCs w:val="24"/>
          <w:shd w:val="clear" w:color="auto" w:fill="FFFFFF"/>
          <w:lang w:val="es-ES"/>
        </w:rPr>
      </w:pPr>
      <w:r w:rsidRPr="00396241">
        <w:rPr>
          <w:rFonts w:cs="Times New Roman"/>
          <w:sz w:val="24"/>
          <w:szCs w:val="24"/>
          <w:shd w:val="clear" w:color="auto" w:fill="FFFFFF"/>
          <w:lang w:val="es-ES"/>
        </w:rPr>
        <w:t>Hay dos formas principales de regulación gubernamental:</w:t>
      </w:r>
    </w:p>
    <w:p w:rsidR="00E63601" w:rsidRPr="00396241" w:rsidRDefault="00396241" w:rsidP="00396241">
      <w:pPr>
        <w:pStyle w:val="a7"/>
        <w:numPr>
          <w:ilvl w:val="0"/>
          <w:numId w:val="39"/>
        </w:numPr>
        <w:shd w:val="clear" w:color="auto" w:fill="FFFFFF"/>
        <w:tabs>
          <w:tab w:val="left" w:pos="0"/>
          <w:tab w:val="left" w:pos="426"/>
        </w:tabs>
        <w:spacing w:after="0" w:line="360" w:lineRule="auto"/>
        <w:ind w:left="0" w:firstLine="0"/>
        <w:rPr>
          <w:rFonts w:cs="Times New Roman"/>
          <w:sz w:val="24"/>
          <w:szCs w:val="24"/>
          <w:shd w:val="clear" w:color="auto" w:fill="FFFFFF"/>
          <w:lang w:val="es-ES"/>
        </w:rPr>
      </w:pPr>
      <w:r>
        <w:rPr>
          <w:rFonts w:cs="Times New Roman"/>
          <w:sz w:val="24"/>
          <w:szCs w:val="24"/>
          <w:shd w:val="clear" w:color="auto" w:fill="FFFFFF"/>
          <w:lang w:val="es-ES"/>
        </w:rPr>
        <w:t>Directa</w:t>
      </w:r>
      <w:r w:rsidRPr="00396241">
        <w:rPr>
          <w:rFonts w:cs="Times New Roman"/>
          <w:sz w:val="24"/>
          <w:szCs w:val="24"/>
          <w:shd w:val="clear" w:color="auto" w:fill="FFFFFF"/>
          <w:lang w:val="es-ES"/>
        </w:rPr>
        <w:t>, que implica el impacto directo del estado sobre la oferta y la demanda agregadas.</w:t>
      </w:r>
    </w:p>
    <w:p w:rsidR="00396241" w:rsidRDefault="00396241" w:rsidP="00396241">
      <w:pPr>
        <w:pStyle w:val="a7"/>
        <w:numPr>
          <w:ilvl w:val="0"/>
          <w:numId w:val="39"/>
        </w:numPr>
        <w:shd w:val="clear" w:color="auto" w:fill="FFFFFF"/>
        <w:tabs>
          <w:tab w:val="left" w:pos="0"/>
          <w:tab w:val="left" w:pos="426"/>
        </w:tabs>
        <w:spacing w:after="0" w:line="360" w:lineRule="auto"/>
        <w:ind w:left="0" w:firstLine="0"/>
        <w:rPr>
          <w:rFonts w:cs="Times New Roman"/>
          <w:sz w:val="24"/>
          <w:szCs w:val="24"/>
          <w:shd w:val="clear" w:color="auto" w:fill="FFFFFF"/>
          <w:lang w:val="es-ES"/>
        </w:rPr>
      </w:pPr>
      <w:r>
        <w:rPr>
          <w:rFonts w:cs="Times New Roman"/>
          <w:sz w:val="24"/>
          <w:szCs w:val="24"/>
          <w:shd w:val="clear" w:color="auto" w:fill="FFFFFF"/>
          <w:lang w:val="es-ES"/>
        </w:rPr>
        <w:t>Indirecta</w:t>
      </w:r>
      <w:r w:rsidRPr="00396241">
        <w:rPr>
          <w:rFonts w:cs="Times New Roman"/>
          <w:sz w:val="24"/>
          <w:szCs w:val="24"/>
          <w:shd w:val="clear" w:color="auto" w:fill="FFFFFF"/>
          <w:lang w:val="es-ES"/>
        </w:rPr>
        <w:t>, que implica la influencia indirecta del estado. Ejemplos de impactos directos incluyen la creación del sector público, la redistribución de ingresos y la programación económica; ejemplos de impactos indirectos son las actividades relacionadas de los sistemas crediticio, financiero y tributario.</w:t>
      </w:r>
    </w:p>
    <w:p w:rsidR="00396241" w:rsidRDefault="00614658" w:rsidP="00396241">
      <w:pPr>
        <w:pStyle w:val="a7"/>
        <w:shd w:val="clear" w:color="auto" w:fill="FFFFFF"/>
        <w:tabs>
          <w:tab w:val="left" w:pos="0"/>
          <w:tab w:val="left" w:pos="426"/>
        </w:tabs>
        <w:spacing w:after="0" w:line="360" w:lineRule="auto"/>
        <w:ind w:left="0"/>
        <w:rPr>
          <w:rFonts w:cs="Times New Roman"/>
          <w:sz w:val="24"/>
          <w:szCs w:val="24"/>
          <w:shd w:val="clear" w:color="auto" w:fill="FFFFFF"/>
          <w:lang w:val="es-ES"/>
        </w:rPr>
      </w:pPr>
      <w:r w:rsidRPr="00614658">
        <w:rPr>
          <w:rFonts w:cs="Times New Roman"/>
          <w:sz w:val="24"/>
          <w:szCs w:val="24"/>
          <w:shd w:val="clear" w:color="auto" w:fill="FFFFFF"/>
          <w:lang w:val="es-ES"/>
        </w:rPr>
        <w:t>La efectividad de la regulación gubernamental anticrisis depende de la correcta identificación y establecimiento de las causas de la crisis económica. Las principales razones de la recesión mundial de 2008-2009 incluyen: la "virtualización" de las transacciones financieras y la separación de la economía real del sector financiero, la acumulación de capital ficticio, la difusión de instrumentos financieros innovadores y la profundización de la integración de la economía mundial.</w:t>
      </w:r>
      <w:r>
        <w:rPr>
          <w:rFonts w:cs="Times New Roman"/>
          <w:sz w:val="24"/>
          <w:szCs w:val="24"/>
          <w:shd w:val="clear" w:color="auto" w:fill="FFFFFF"/>
          <w:lang w:val="es-ES"/>
        </w:rPr>
        <w:t xml:space="preserve"> </w:t>
      </w:r>
      <w:r w:rsidRPr="00614658">
        <w:rPr>
          <w:rFonts w:cs="Times New Roman"/>
          <w:sz w:val="24"/>
          <w:szCs w:val="24"/>
          <w:shd w:val="clear" w:color="auto" w:fill="FFFFFF"/>
          <w:lang w:val="es-ES"/>
        </w:rPr>
        <w:t>Un factor de desestabilización del entorno económico en el sector real de la economía fue el mecanismo de contracción del crédito como consecuencia del colapso de las bolsas de valores y el estallido de la crisis bancaria, así como la contracción de la demanda del consumidor interno y la demanda externa en los mercados mundiales.</w:t>
      </w:r>
    </w:p>
    <w:p w:rsidR="00B62802" w:rsidRPr="00B62802" w:rsidRDefault="00B62802" w:rsidP="00B62802">
      <w:pPr>
        <w:pStyle w:val="a7"/>
        <w:shd w:val="clear" w:color="auto" w:fill="FFFFFF"/>
        <w:tabs>
          <w:tab w:val="left" w:pos="0"/>
          <w:tab w:val="left" w:pos="426"/>
        </w:tabs>
        <w:spacing w:after="0" w:line="360" w:lineRule="auto"/>
        <w:ind w:left="0"/>
        <w:rPr>
          <w:rFonts w:cs="Times New Roman"/>
          <w:sz w:val="24"/>
          <w:szCs w:val="24"/>
          <w:shd w:val="clear" w:color="auto" w:fill="FFFFFF"/>
          <w:lang w:val="es-ES"/>
        </w:rPr>
      </w:pPr>
      <w:r w:rsidRPr="00B62802">
        <w:rPr>
          <w:rFonts w:cs="Times New Roman"/>
          <w:sz w:val="24"/>
          <w:szCs w:val="24"/>
          <w:shd w:val="clear" w:color="auto" w:fill="FFFFFF"/>
          <w:lang w:val="es-ES"/>
        </w:rPr>
        <w:t>En consecuencia, las principales direcciones de la regulación estatal anticrisis durante la crisis de 2008-2009 fueron:</w:t>
      </w:r>
    </w:p>
    <w:p w:rsidR="00614658" w:rsidRDefault="00B62802" w:rsidP="00B62802">
      <w:pPr>
        <w:pStyle w:val="a7"/>
        <w:numPr>
          <w:ilvl w:val="0"/>
          <w:numId w:val="40"/>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B62802">
        <w:rPr>
          <w:rFonts w:cs="Times New Roman"/>
          <w:sz w:val="24"/>
          <w:szCs w:val="24"/>
          <w:shd w:val="clear" w:color="auto" w:fill="FFFFFF"/>
          <w:lang w:val="es-ES"/>
        </w:rPr>
        <w:t>Estimular la demanda interna: implementación de proyectos de infraestructura; aumentar la contratación pública; un aumento de las órdenes gubernamentales; construcción de nuevas instalaciones industriales; apoyo a los ingresos de la población, incluidos los pagos directos; ampliar el acceso de la población a los recursos crediticios; estimular el mercado laboral y crear nuevos puestos de trabajo.</w:t>
      </w:r>
    </w:p>
    <w:p w:rsidR="00B62802" w:rsidRDefault="00CC2CBD" w:rsidP="00CC2CBD">
      <w:pPr>
        <w:pStyle w:val="a7"/>
        <w:numPr>
          <w:ilvl w:val="0"/>
          <w:numId w:val="40"/>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CC2CBD">
        <w:rPr>
          <w:rFonts w:cs="Times New Roman"/>
          <w:sz w:val="24"/>
          <w:szCs w:val="24"/>
          <w:shd w:val="clear" w:color="auto" w:fill="FFFFFF"/>
          <w:lang w:val="es-ES"/>
        </w:rPr>
        <w:t>Creación de incentivos financieros para empresas: subsidios / subsidios directos a las empresas; reembolso de deudas "incobrables"; reducir la carga fiscal; apoyo financiero para industrias prioritarias y empresas troncales; ampliar el acceso de las empresas a los recursos crediticios; expansión de préstamos de inversión; aumento de la liquidez en la economía.</w:t>
      </w:r>
    </w:p>
    <w:p w:rsidR="00CC2CBD" w:rsidRDefault="00A1120C" w:rsidP="00A1120C">
      <w:pPr>
        <w:pStyle w:val="a7"/>
        <w:numPr>
          <w:ilvl w:val="0"/>
          <w:numId w:val="40"/>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A1120C">
        <w:rPr>
          <w:rFonts w:cs="Times New Roman"/>
          <w:sz w:val="24"/>
          <w:szCs w:val="24"/>
          <w:shd w:val="clear" w:color="auto" w:fill="FFFFFF"/>
          <w:lang w:val="es-ES"/>
        </w:rPr>
        <w:t>Desarrollo de potencial innovador: financiamiento de proyectos de inversión a largo plazo; inversión en capital humano; inversión en I + D.</w:t>
      </w:r>
    </w:p>
    <w:p w:rsidR="00A1120C" w:rsidRDefault="00A1120C" w:rsidP="00A1120C">
      <w:pPr>
        <w:pStyle w:val="a7"/>
        <w:numPr>
          <w:ilvl w:val="0"/>
          <w:numId w:val="40"/>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A1120C">
        <w:rPr>
          <w:rFonts w:cs="Times New Roman"/>
          <w:sz w:val="24"/>
          <w:szCs w:val="24"/>
          <w:shd w:val="clear" w:color="auto" w:fill="FFFFFF"/>
          <w:lang w:val="es-ES"/>
        </w:rPr>
        <w:lastRenderedPageBreak/>
        <w:t>Desarrollo de la pequeña y mediana empresa: apoyo financiero directo del estado a la pequeña y mediana empresa; reducir la carga fiscal; mejorar el clima de inversión y el apoyo gubernamental para proyectos de inversión; reducción de barreras administrativas.</w:t>
      </w:r>
    </w:p>
    <w:p w:rsidR="00AC7EB9" w:rsidRDefault="00AC7EB9" w:rsidP="00AC7EB9">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1120C" w:rsidRDefault="0043049C" w:rsidP="0043049C">
      <w:pPr>
        <w:pStyle w:val="a7"/>
        <w:shd w:val="clear" w:color="auto" w:fill="FFFFFF"/>
        <w:tabs>
          <w:tab w:val="left" w:pos="0"/>
          <w:tab w:val="left" w:pos="284"/>
        </w:tabs>
        <w:spacing w:after="0" w:line="360" w:lineRule="auto"/>
        <w:ind w:left="0"/>
        <w:jc w:val="center"/>
        <w:rPr>
          <w:rFonts w:cs="Times New Roman"/>
          <w:sz w:val="24"/>
          <w:szCs w:val="24"/>
          <w:shd w:val="clear" w:color="auto" w:fill="FFFFFF"/>
          <w:lang w:val="es-ES"/>
        </w:rPr>
      </w:pPr>
      <w:r>
        <w:rPr>
          <w:rFonts w:cs="Times New Roman"/>
          <w:sz w:val="24"/>
          <w:szCs w:val="24"/>
          <w:shd w:val="clear" w:color="auto" w:fill="FFFFFF"/>
          <w:lang w:val="es-ES"/>
        </w:rPr>
        <w:t>1.3</w:t>
      </w:r>
      <w:r>
        <w:rPr>
          <w:rFonts w:cs="Times New Roman"/>
          <w:sz w:val="24"/>
          <w:szCs w:val="24"/>
          <w:shd w:val="clear" w:color="auto" w:fill="FFFFFF"/>
          <w:lang w:val="es-ES"/>
        </w:rPr>
        <w:tab/>
      </w:r>
      <w:r w:rsidRPr="0043049C">
        <w:rPr>
          <w:rFonts w:cs="Times New Roman"/>
          <w:sz w:val="24"/>
          <w:szCs w:val="24"/>
          <w:shd w:val="clear" w:color="auto" w:fill="FFFFFF"/>
          <w:lang w:val="es-ES"/>
        </w:rPr>
        <w:t>El estado de la economía mundial en vísperas de la pandemia</w:t>
      </w:r>
    </w:p>
    <w:p w:rsidR="00EF57D9" w:rsidRDefault="00EF57D9"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43049C" w:rsidRDefault="00C5332A"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C5332A">
        <w:rPr>
          <w:rFonts w:cs="Times New Roman"/>
          <w:sz w:val="24"/>
          <w:szCs w:val="24"/>
          <w:shd w:val="clear" w:color="auto" w:fill="FFFFFF"/>
          <w:lang w:val="es-ES"/>
        </w:rPr>
        <w:t>Esta sección considerará los resultados de la regulación anticrisis durante la crisis de 2008-2009 y el estado de la economía en vísperas de la pandemia de coronavirus.</w:t>
      </w:r>
    </w:p>
    <w:p w:rsidR="00C5332A" w:rsidRDefault="00C5332A"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EF57D9" w:rsidRDefault="00A259CE"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A259CE">
        <w:rPr>
          <w:rFonts w:cs="Times New Roman"/>
          <w:sz w:val="24"/>
          <w:szCs w:val="24"/>
          <w:shd w:val="clear" w:color="auto" w:fill="FFFFFF"/>
          <w:lang w:val="es-ES"/>
        </w:rPr>
        <w:t>La estimulación de la demanda interna, principalmente a través de la inversión pública en infraestructura y el desarrollo de potencial innovador, se ha convertido en el foco central en términos de financiamiento. En particular, solo del presupuesto de Estados Unidos, se invirtieron 700 mil millones de dólares en 2008-2009, y luego otros 787 mil millones de dólares.</w:t>
      </w:r>
    </w:p>
    <w:p w:rsidR="00A259CE" w:rsidRDefault="00CA1543"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CA1543">
        <w:rPr>
          <w:rFonts w:cs="Times New Roman"/>
          <w:sz w:val="24"/>
          <w:szCs w:val="24"/>
          <w:shd w:val="clear" w:color="auto" w:fill="FFFFFF"/>
          <w:lang w:val="es-ES"/>
        </w:rPr>
        <w:t>Los factores que limitan la efectividad de la regulación anticrisis y dificultan el restablecimiento del crecimiento en el sector real de la economía son: limitación del estímulo fiscal debido al crecimiento del gasto presupuestario, aumento del desempleo y disminución de la inversión bruta en la economía, lo que lleva a una reducción del PIB potencial a mediano y largo plazo.</w:t>
      </w:r>
      <w:r>
        <w:rPr>
          <w:rFonts w:cs="Times New Roman"/>
          <w:sz w:val="24"/>
          <w:szCs w:val="24"/>
          <w:shd w:val="clear" w:color="auto" w:fill="FFFFFF"/>
          <w:lang w:val="es-ES"/>
        </w:rPr>
        <w:t xml:space="preserve"> </w:t>
      </w:r>
      <w:r w:rsidRPr="00CA1543">
        <w:rPr>
          <w:rFonts w:cs="Times New Roman"/>
          <w:sz w:val="24"/>
          <w:szCs w:val="24"/>
          <w:shd w:val="clear" w:color="auto" w:fill="FFFFFF"/>
          <w:lang w:val="es-ES"/>
        </w:rPr>
        <w:t>En la Unión Europea, a estos factores se sumaron la diferenciación de países en términos de desarrollo socioeconómico y, como consecuencia, la imposibilidad de seguir una política única armonizada, así como la crisis de la deuda.</w:t>
      </w:r>
    </w:p>
    <w:p w:rsidR="00CA1543" w:rsidRDefault="00CA1543" w:rsidP="00A1120C">
      <w:pPr>
        <w:pStyle w:val="a7"/>
        <w:shd w:val="clear" w:color="auto" w:fill="FFFFFF"/>
        <w:tabs>
          <w:tab w:val="left" w:pos="0"/>
          <w:tab w:val="left" w:pos="284"/>
        </w:tabs>
        <w:spacing w:after="0" w:line="360" w:lineRule="auto"/>
        <w:ind w:left="0"/>
        <w:rPr>
          <w:rFonts w:cs="Times New Roman"/>
          <w:color w:val="000000"/>
          <w:sz w:val="24"/>
          <w:szCs w:val="24"/>
          <w:lang w:val="es-ES"/>
        </w:rPr>
      </w:pPr>
      <w:r w:rsidRPr="00CA1543">
        <w:rPr>
          <w:rFonts w:cs="Times New Roman"/>
          <w:sz w:val="24"/>
          <w:szCs w:val="24"/>
          <w:shd w:val="clear" w:color="auto" w:fill="FFFFFF"/>
          <w:lang w:val="es-ES"/>
        </w:rPr>
        <w:t>Gracias a las medidas tomadas por los países, las consecuencias de la crisis financiera y económica mundial de 2008-2009 fueron mitigadas en gran medida y se tradujeron en una recesión económica que duró más de diez años. Si las tasas medias de crecimiento anual de la economía mundial en 1998-2007 fueron del 4,2%, en el período posterior a la crisis de 2008-2009 no alcanzaron este valor. En 2018, la tasa de crecimiento anual promedio de la economía mundial fue del 3,6% (en los países desarrollados - 2,2% frente al 2,8% en 1998-2007, y en los países en desarrollo - 4,5% frente al 5,8% ).</w:t>
      </w:r>
      <w:r>
        <w:rPr>
          <w:rFonts w:cs="Times New Roman"/>
          <w:sz w:val="24"/>
          <w:szCs w:val="24"/>
          <w:shd w:val="clear" w:color="auto" w:fill="FFFFFF"/>
          <w:lang w:val="es-ES"/>
        </w:rPr>
        <w:t xml:space="preserve"> </w:t>
      </w:r>
      <w:proofErr w:type="gramStart"/>
      <w:r w:rsidRPr="008E114B">
        <w:rPr>
          <w:rFonts w:cs="Times New Roman"/>
          <w:b/>
          <w:i/>
          <w:color w:val="000000"/>
          <w:sz w:val="24"/>
          <w:szCs w:val="24"/>
        </w:rPr>
        <w:t>[</w:t>
      </w:r>
      <w:r w:rsidRPr="008E114B">
        <w:rPr>
          <w:rFonts w:cs="Times New Roman"/>
          <w:b/>
          <w:i/>
          <w:color w:val="000000"/>
          <w:sz w:val="24"/>
          <w:szCs w:val="24"/>
          <w:lang w:val="en-US"/>
        </w:rPr>
        <w:t>IMF</w:t>
      </w:r>
      <w:r w:rsidRPr="008E114B">
        <w:rPr>
          <w:rFonts w:cs="Times New Roman"/>
          <w:b/>
          <w:i/>
          <w:color w:val="000000"/>
          <w:sz w:val="24"/>
          <w:szCs w:val="24"/>
        </w:rPr>
        <w:t>.</w:t>
      </w:r>
      <w:proofErr w:type="gramEnd"/>
      <w:r w:rsidRPr="008E114B">
        <w:rPr>
          <w:rFonts w:cs="Times New Roman"/>
          <w:b/>
          <w:i/>
          <w:color w:val="000000"/>
          <w:sz w:val="24"/>
          <w:szCs w:val="24"/>
        </w:rPr>
        <w:t xml:space="preserve"> </w:t>
      </w:r>
      <w:proofErr w:type="gramStart"/>
      <w:r w:rsidRPr="008E114B">
        <w:rPr>
          <w:rFonts w:cs="Times New Roman"/>
          <w:b/>
          <w:i/>
          <w:color w:val="000000"/>
          <w:sz w:val="24"/>
          <w:szCs w:val="24"/>
          <w:lang w:val="en-US"/>
        </w:rPr>
        <w:t>World</w:t>
      </w:r>
      <w:r w:rsidRPr="008E114B">
        <w:rPr>
          <w:rFonts w:cs="Times New Roman"/>
          <w:b/>
          <w:i/>
          <w:color w:val="000000"/>
          <w:sz w:val="24"/>
          <w:szCs w:val="24"/>
        </w:rPr>
        <w:t xml:space="preserve"> </w:t>
      </w:r>
      <w:r w:rsidRPr="008E114B">
        <w:rPr>
          <w:rFonts w:cs="Times New Roman"/>
          <w:b/>
          <w:i/>
          <w:color w:val="000000"/>
          <w:sz w:val="24"/>
          <w:szCs w:val="24"/>
          <w:lang w:val="en-US"/>
        </w:rPr>
        <w:t>Economic</w:t>
      </w:r>
      <w:r w:rsidRPr="008E114B">
        <w:rPr>
          <w:rFonts w:cs="Times New Roman"/>
          <w:b/>
          <w:i/>
          <w:color w:val="000000"/>
          <w:sz w:val="24"/>
          <w:szCs w:val="24"/>
        </w:rPr>
        <w:t xml:space="preserve"> </w:t>
      </w:r>
      <w:r w:rsidRPr="008E114B">
        <w:rPr>
          <w:rFonts w:cs="Times New Roman"/>
          <w:b/>
          <w:i/>
          <w:color w:val="000000"/>
          <w:sz w:val="24"/>
          <w:szCs w:val="24"/>
          <w:lang w:val="en-US"/>
        </w:rPr>
        <w:t>Outlook</w:t>
      </w:r>
      <w:r w:rsidRPr="008E114B">
        <w:rPr>
          <w:rFonts w:cs="Times New Roman"/>
          <w:b/>
          <w:i/>
          <w:color w:val="000000"/>
          <w:sz w:val="24"/>
          <w:szCs w:val="24"/>
        </w:rPr>
        <w:t>.</w:t>
      </w:r>
      <w:proofErr w:type="gramEnd"/>
      <w:r w:rsidRPr="008E114B">
        <w:rPr>
          <w:rFonts w:cs="Times New Roman"/>
          <w:b/>
          <w:i/>
          <w:color w:val="000000"/>
          <w:sz w:val="24"/>
          <w:szCs w:val="24"/>
        </w:rPr>
        <w:t xml:space="preserve"> </w:t>
      </w:r>
      <w:r w:rsidRPr="008E114B">
        <w:rPr>
          <w:rFonts w:cs="Times New Roman"/>
          <w:b/>
          <w:i/>
          <w:color w:val="000000"/>
          <w:sz w:val="24"/>
          <w:szCs w:val="24"/>
          <w:lang w:val="en-US"/>
        </w:rPr>
        <w:t>April</w:t>
      </w:r>
      <w:r w:rsidRPr="008E114B">
        <w:rPr>
          <w:rFonts w:cs="Times New Roman"/>
          <w:b/>
          <w:i/>
          <w:color w:val="000000"/>
          <w:sz w:val="24"/>
          <w:szCs w:val="24"/>
        </w:rPr>
        <w:t xml:space="preserve"> 2019. </w:t>
      </w:r>
      <w:r w:rsidRPr="008E114B">
        <w:rPr>
          <w:rFonts w:cs="Times New Roman"/>
          <w:b/>
          <w:i/>
          <w:color w:val="000000"/>
          <w:sz w:val="24"/>
          <w:szCs w:val="24"/>
          <w:lang w:val="en-US"/>
        </w:rPr>
        <w:t>H</w:t>
      </w:r>
      <w:r w:rsidRPr="008E114B">
        <w:rPr>
          <w:rFonts w:cs="Times New Roman"/>
          <w:b/>
          <w:i/>
          <w:color w:val="000000"/>
          <w:sz w:val="24"/>
          <w:szCs w:val="24"/>
        </w:rPr>
        <w:t>. 156]</w:t>
      </w:r>
    </w:p>
    <w:p w:rsidR="00CA1543" w:rsidRDefault="00B125D0"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B125D0">
        <w:rPr>
          <w:rFonts w:cs="Times New Roman"/>
          <w:sz w:val="24"/>
          <w:szCs w:val="24"/>
          <w:shd w:val="clear" w:color="auto" w:fill="FFFFFF"/>
          <w:lang w:val="es-ES"/>
        </w:rPr>
        <w:t xml:space="preserve">Las tendencias dominantes en el período posterior a la crisis, que tuvieron un impacto negativo en el desarrollo económico mundial y lo inhibieron directamente, fueron la reducción de las operaciones en el mercado financiero mundial, el crecimiento de la deuda mundial con un alto grado simultáneo de volatilidad de la deuda corporativa, cadenas de producción de valor agregado poco confiables y muy largas, flujos de capital transfronterizos inestables y precios del petróleo extremadamente volátiles. Todas las tendencias mencionadas en la economía mundial </w:t>
      </w:r>
      <w:r w:rsidRPr="00B125D0">
        <w:rPr>
          <w:rFonts w:cs="Times New Roman"/>
          <w:sz w:val="24"/>
          <w:szCs w:val="24"/>
          <w:shd w:val="clear" w:color="auto" w:fill="FFFFFF"/>
          <w:lang w:val="es-ES"/>
        </w:rPr>
        <w:lastRenderedPageBreak/>
        <w:t>dependen unas de otras y han creado las condiciones para la transformación del crecimiento económico mundial en la nueva recesión económica mundial.</w:t>
      </w:r>
    </w:p>
    <w:p w:rsidR="00D80915" w:rsidRDefault="00D80915" w:rsidP="00A1120C">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B125D0" w:rsidRDefault="00C14E08" w:rsidP="00C14E08">
      <w:pPr>
        <w:pStyle w:val="a7"/>
        <w:numPr>
          <w:ilvl w:val="0"/>
          <w:numId w:val="38"/>
        </w:numPr>
        <w:shd w:val="clear" w:color="auto" w:fill="FFFFFF"/>
        <w:tabs>
          <w:tab w:val="left" w:pos="0"/>
          <w:tab w:val="left" w:pos="284"/>
        </w:tabs>
        <w:spacing w:after="0" w:line="360" w:lineRule="auto"/>
        <w:jc w:val="center"/>
        <w:rPr>
          <w:rFonts w:cs="Times New Roman"/>
          <w:sz w:val="24"/>
          <w:szCs w:val="24"/>
          <w:shd w:val="clear" w:color="auto" w:fill="FFFFFF"/>
          <w:lang w:val="es-ES"/>
        </w:rPr>
      </w:pPr>
      <w:r w:rsidRPr="00C14E08">
        <w:rPr>
          <w:rFonts w:cs="Times New Roman"/>
          <w:sz w:val="24"/>
          <w:szCs w:val="24"/>
          <w:shd w:val="clear" w:color="auto" w:fill="FFFFFF"/>
          <w:lang w:val="es-ES"/>
        </w:rPr>
        <w:t>Pandemia y economía</w:t>
      </w:r>
    </w:p>
    <w:p w:rsidR="00AC7EB9" w:rsidRDefault="00AC7EB9" w:rsidP="00AC7EB9">
      <w:pPr>
        <w:pStyle w:val="a7"/>
        <w:shd w:val="clear" w:color="auto" w:fill="FFFFFF"/>
        <w:tabs>
          <w:tab w:val="left" w:pos="0"/>
          <w:tab w:val="left" w:pos="284"/>
        </w:tabs>
        <w:spacing w:after="0" w:line="360" w:lineRule="auto"/>
        <w:rPr>
          <w:rFonts w:cs="Times New Roman"/>
          <w:sz w:val="24"/>
          <w:szCs w:val="24"/>
          <w:shd w:val="clear" w:color="auto" w:fill="FFFFFF"/>
          <w:lang w:val="es-ES"/>
        </w:rPr>
      </w:pPr>
    </w:p>
    <w:p w:rsidR="00C14E08" w:rsidRDefault="005976C7" w:rsidP="00C14E08">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5976C7">
        <w:rPr>
          <w:rFonts w:cs="Times New Roman"/>
          <w:sz w:val="24"/>
          <w:szCs w:val="24"/>
          <w:shd w:val="clear" w:color="auto" w:fill="FFFFFF"/>
          <w:lang w:val="es-ES"/>
        </w:rPr>
        <w:t>La respuesta de los gobiernos nacionales a la propagación de la enfermedad se da a través de dos canales principales: en primer lugar, se trata de medidas de contención destinadas a prevenir la infección, y en segundo lugar, se trata de medidas de apoyo orientadas a preservar los ingresos, el empleo y la actividad económica en general</w:t>
      </w:r>
      <w:r w:rsidRPr="005976C7">
        <w:rPr>
          <w:lang w:val="es-ES"/>
        </w:rPr>
        <w:t xml:space="preserve"> </w:t>
      </w:r>
      <w:r w:rsidRPr="005976C7">
        <w:rPr>
          <w:rFonts w:cs="Times New Roman"/>
          <w:sz w:val="24"/>
          <w:szCs w:val="24"/>
          <w:shd w:val="clear" w:color="auto" w:fill="FFFFFF"/>
          <w:lang w:val="es-ES"/>
        </w:rPr>
        <w:t>general que sufre por el cierre de una serie de producciones.</w:t>
      </w:r>
    </w:p>
    <w:p w:rsidR="005976C7" w:rsidRDefault="005976C7" w:rsidP="00C14E08">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5976C7">
        <w:rPr>
          <w:rFonts w:cs="Times New Roman"/>
          <w:sz w:val="24"/>
          <w:szCs w:val="24"/>
          <w:shd w:val="clear" w:color="auto" w:fill="FFFFFF"/>
          <w:lang w:val="es-ES"/>
        </w:rPr>
        <w:t>Los políticos se ven obligados a actuar con rapidez, si no a ciegas, sobre la base de una información extremadamente limitada debido a una crisis global sin precedentes, en términos de escala, razones y circunstancias. La experiencia económica de naturaleza anticrisis resulta ser casi tan demandada como la competencia en el sector de la salud.</w:t>
      </w:r>
    </w:p>
    <w:p w:rsidR="00AC7EB9" w:rsidRDefault="00AC7EB9" w:rsidP="00C14E08">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5976C7" w:rsidRDefault="00E6236E" w:rsidP="00E6236E">
      <w:pPr>
        <w:pStyle w:val="a7"/>
        <w:numPr>
          <w:ilvl w:val="1"/>
          <w:numId w:val="38"/>
        </w:numPr>
        <w:shd w:val="clear" w:color="auto" w:fill="FFFFFF"/>
        <w:tabs>
          <w:tab w:val="left" w:pos="0"/>
          <w:tab w:val="left" w:pos="284"/>
        </w:tabs>
        <w:spacing w:after="0" w:line="360" w:lineRule="auto"/>
        <w:jc w:val="center"/>
        <w:rPr>
          <w:rFonts w:cs="Times New Roman"/>
          <w:sz w:val="24"/>
          <w:szCs w:val="24"/>
          <w:shd w:val="clear" w:color="auto" w:fill="FFFFFF"/>
          <w:lang w:val="es-ES"/>
        </w:rPr>
      </w:pPr>
      <w:r w:rsidRPr="00E6236E">
        <w:rPr>
          <w:rFonts w:cs="Times New Roman"/>
          <w:sz w:val="24"/>
          <w:szCs w:val="24"/>
          <w:shd w:val="clear" w:color="auto" w:fill="FFFFFF"/>
          <w:lang w:val="es-ES"/>
        </w:rPr>
        <w:t>El aumento de la morbilidad y las medidas gubernamentales para proteger a la población</w:t>
      </w:r>
    </w:p>
    <w:p w:rsidR="00E6236E" w:rsidRDefault="00E6236E" w:rsidP="00E6236E">
      <w:pPr>
        <w:pStyle w:val="a7"/>
        <w:shd w:val="clear" w:color="auto" w:fill="FFFFFF"/>
        <w:tabs>
          <w:tab w:val="left" w:pos="0"/>
          <w:tab w:val="left" w:pos="284"/>
        </w:tabs>
        <w:spacing w:after="0" w:line="360" w:lineRule="auto"/>
        <w:ind w:left="1410"/>
        <w:rPr>
          <w:rFonts w:cs="Times New Roman"/>
          <w:sz w:val="24"/>
          <w:szCs w:val="24"/>
          <w:shd w:val="clear" w:color="auto" w:fill="FFFFFF"/>
          <w:lang w:val="es-ES"/>
        </w:rPr>
      </w:pPr>
    </w:p>
    <w:p w:rsidR="00E6236E" w:rsidRDefault="002027B8"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2027B8">
        <w:rPr>
          <w:rFonts w:cs="Times New Roman"/>
          <w:sz w:val="24"/>
          <w:szCs w:val="24"/>
          <w:shd w:val="clear" w:color="auto" w:fill="FFFFFF"/>
          <w:lang w:val="es-ES"/>
        </w:rPr>
        <w:t>En esta sección se analizarán datos sobre la tasa de incidencia en varios países, las medidas tomadas por los estados para proteger a la población en función del estado de la medicina en el país, la efectividad de las cuarentenas y su impacto en el estado general de la economía del país en el contexto de la pandemia de coronavirus.</w:t>
      </w:r>
    </w:p>
    <w:p w:rsidR="002027B8" w:rsidRDefault="002027B8"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2027B8" w:rsidRDefault="0011089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10899">
        <w:rPr>
          <w:rFonts w:cs="Times New Roman"/>
          <w:sz w:val="24"/>
          <w:szCs w:val="24"/>
          <w:shd w:val="clear" w:color="auto" w:fill="FFFFFF"/>
          <w:lang w:val="es-ES"/>
        </w:rPr>
        <w:t>China fue la primera en sufrir el golpe de la epidemia. Ya a fines de enero, se introdujeron medidas de cuarentena bastante estrictas en las regiones del país, en primer lugar, por supuesto, en el Wuhan más afectado, seguido del cierre de instituciones educativas, empresas, la prohibición de eventos masivos, se prohibieron los viajes internacionales y nacionales, y posteriormente se introdujo un régimen de aislamiento. En abril, siguió una relajación significativa del régimen, pero de vez en cuando hay temores en el país sobre la aparición de nuevos focos con la introducción de las correspondientes restricciones severas (por ejemplo, a mediados de mayo en Shulan).</w:t>
      </w:r>
    </w:p>
    <w:p w:rsidR="00110899" w:rsidRDefault="00DC0597"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DC0597">
        <w:rPr>
          <w:rFonts w:cs="Times New Roman"/>
          <w:sz w:val="24"/>
          <w:szCs w:val="24"/>
          <w:shd w:val="clear" w:color="auto" w:fill="FFFFFF"/>
          <w:lang w:val="es-ES"/>
        </w:rPr>
        <w:t>La propagación del coronavirus y las medidas restrictivas introducidas en todos los países, junto con el autocontrol de la población, han tenido un impacto impetuoso tanto en las economías nacionales como en la economía global en su conjunto.</w:t>
      </w:r>
    </w:p>
    <w:p w:rsidR="00DC0597" w:rsidRDefault="00137851"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37851">
        <w:rPr>
          <w:rFonts w:cs="Times New Roman"/>
          <w:sz w:val="24"/>
          <w:szCs w:val="24"/>
          <w:shd w:val="clear" w:color="auto" w:fill="FFFFFF"/>
          <w:lang w:val="es-ES"/>
        </w:rPr>
        <w:lastRenderedPageBreak/>
        <w:t>La pandemia de COVID-19 y las medidas de política pública para introducir y posteriormente aliviar las restricciones de cuarentena, así como para apoyar la economía, se han convertido en el tema de numerosos desarrollos de expertos y una serie de artículos científicos. No proporcionamos aquí una descripción detallada de estos trabajos, principalmente porque, debido al ciclo de publicación, se puede construir una imagen relativamente completa de las posiciones de la comunidad académica y de expertos no antes del segundo trimestre de 2021.</w:t>
      </w:r>
    </w:p>
    <w:p w:rsidR="00137851" w:rsidRDefault="006D2561"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6D2561">
        <w:rPr>
          <w:rFonts w:cs="Times New Roman"/>
          <w:sz w:val="24"/>
          <w:szCs w:val="24"/>
          <w:shd w:val="clear" w:color="auto" w:fill="FFFFFF"/>
          <w:lang w:val="es-ES"/>
        </w:rPr>
        <w:t>Desde el punto de vista instrumental, son de gran interés la metodología para evaluar la respuesta del gobierno a una pandemia y una crisis propuesta por la Universidad de Oxford y la Escuela de Gobernanza Blavatnik (Hale et al., 2020), la denominada Coronavi</w:t>
      </w:r>
      <w:r>
        <w:rPr>
          <w:rFonts w:cs="Times New Roman"/>
          <w:sz w:val="24"/>
          <w:szCs w:val="24"/>
          <w:shd w:val="clear" w:color="auto" w:fill="FFFFFF"/>
          <w:lang w:val="es-ES"/>
        </w:rPr>
        <w:t xml:space="preserve">rus Government Response Tracker </w:t>
      </w:r>
      <w:r w:rsidRPr="00993F22">
        <w:rPr>
          <w:rFonts w:cs="Times New Roman"/>
          <w:b/>
          <w:i/>
          <w:sz w:val="24"/>
          <w:szCs w:val="24"/>
          <w:shd w:val="clear" w:color="auto" w:fill="FFFFFF"/>
          <w:lang w:val="es-ES"/>
        </w:rPr>
        <w:t xml:space="preserve">[https://ourworldindata.org/policy-responses-covid; </w:t>
      </w:r>
      <w:hyperlink r:id="rId9" w:history="1">
        <w:r w:rsidR="00EC4C67" w:rsidRPr="00677F2E">
          <w:rPr>
            <w:rFonts w:cs="Times New Roman"/>
            <w:b/>
            <w:i/>
            <w:sz w:val="24"/>
            <w:szCs w:val="24"/>
            <w:shd w:val="clear" w:color="auto" w:fill="FFFFFF"/>
            <w:lang w:val="es-ES"/>
          </w:rPr>
          <w:t>https://www.bsg.ox.ac.uk/ research/research-</w:t>
        </w:r>
      </w:hyperlink>
      <w:r w:rsidRPr="00EC4C67">
        <w:rPr>
          <w:rFonts w:cs="Times New Roman"/>
          <w:b/>
          <w:i/>
          <w:sz w:val="24"/>
          <w:szCs w:val="24"/>
          <w:shd w:val="clear" w:color="auto" w:fill="FFFFFF"/>
          <w:lang w:val="es-ES"/>
        </w:rPr>
        <w:t>projects/coronavirus-government-respon</w:t>
      </w:r>
      <w:r w:rsidRPr="00993F22">
        <w:rPr>
          <w:rFonts w:cs="Times New Roman"/>
          <w:b/>
          <w:i/>
          <w:sz w:val="24"/>
          <w:szCs w:val="24"/>
          <w:shd w:val="clear" w:color="auto" w:fill="FFFFFF"/>
          <w:lang w:val="es-ES"/>
        </w:rPr>
        <w:t>se-tracker]</w:t>
      </w:r>
      <w:r w:rsidRPr="006D2561">
        <w:rPr>
          <w:rFonts w:cs="Times New Roman"/>
          <w:sz w:val="24"/>
          <w:szCs w:val="24"/>
          <w:shd w:val="clear" w:color="auto" w:fill="FFFFFF"/>
          <w:lang w:val="es-ES"/>
        </w:rPr>
        <w:t>, así como las estimaciones agregadas de las medidas fiscales de apoyo estatal recopiladas por el Centro de Investigación Bruegel (Anderson et al., 2020).</w:t>
      </w:r>
      <w:r>
        <w:rPr>
          <w:rFonts w:cs="Times New Roman"/>
          <w:sz w:val="24"/>
          <w:szCs w:val="24"/>
          <w:shd w:val="clear" w:color="auto" w:fill="FFFFFF"/>
          <w:lang w:val="es-ES"/>
        </w:rPr>
        <w:t xml:space="preserve"> </w:t>
      </w:r>
      <w:r w:rsidR="00A30909" w:rsidRPr="00A30909">
        <w:rPr>
          <w:rFonts w:cs="Times New Roman"/>
          <w:sz w:val="24"/>
          <w:szCs w:val="24"/>
          <w:shd w:val="clear" w:color="auto" w:fill="FFFFFF"/>
          <w:lang w:val="es-ES"/>
        </w:rPr>
        <w:t xml:space="preserve">Para evaluar la dinámica de la propagación de COVID-19, utilizamos las estadísticas de Worldometer </w:t>
      </w:r>
      <w:r w:rsidR="00A30909" w:rsidRPr="00993F22">
        <w:rPr>
          <w:rFonts w:cs="Times New Roman"/>
          <w:b/>
          <w:i/>
          <w:sz w:val="24"/>
          <w:szCs w:val="24"/>
          <w:shd w:val="clear" w:color="auto" w:fill="FFFFFF"/>
          <w:lang w:val="es-ES"/>
        </w:rPr>
        <w:t>[https://www.worldometers.info/coronavirus/]</w:t>
      </w:r>
      <w:r w:rsidR="00A30909" w:rsidRPr="00A30909">
        <w:rPr>
          <w:rFonts w:cs="Times New Roman"/>
          <w:sz w:val="24"/>
          <w:szCs w:val="24"/>
          <w:shd w:val="clear" w:color="auto" w:fill="FFFFFF"/>
          <w:lang w:val="es-ES"/>
        </w:rPr>
        <w:t>. La Universidad de Oxford calcula el llamado Government Stringency Index (en adelante GSI), que nos permite evaluar la severidad de las medidas de cuarentena.</w:t>
      </w:r>
      <w:r w:rsidR="001B21E0">
        <w:rPr>
          <w:rFonts w:cs="Times New Roman"/>
          <w:sz w:val="24"/>
          <w:szCs w:val="24"/>
          <w:shd w:val="clear" w:color="auto" w:fill="FFFFFF"/>
          <w:lang w:val="es-ES"/>
        </w:rPr>
        <w:t xml:space="preserve"> </w:t>
      </w:r>
      <w:r w:rsidR="001B21E0" w:rsidRPr="001B21E0">
        <w:rPr>
          <w:rFonts w:cs="Times New Roman"/>
          <w:sz w:val="24"/>
          <w:szCs w:val="24"/>
          <w:shd w:val="clear" w:color="auto" w:fill="FFFFFF"/>
          <w:lang w:val="es-ES"/>
        </w:rPr>
        <w:t>Integra medidas para cerrar escuelas, lugares de trabajo, cancelar eventos públicos, limitar el número de asambleas, cerrar el transporte público, requisitos de (auto)aislamiento y restringir la movilidad nacional e internacional en una escala de 0 a 100 (donde 100 es el más severo).</w:t>
      </w:r>
      <w:r w:rsidR="001B21E0">
        <w:rPr>
          <w:rFonts w:cs="Times New Roman"/>
          <w:sz w:val="24"/>
          <w:szCs w:val="24"/>
          <w:shd w:val="clear" w:color="auto" w:fill="FFFFFF"/>
          <w:lang w:val="es-ES"/>
        </w:rPr>
        <w:t xml:space="preserve"> </w:t>
      </w:r>
      <w:r w:rsidR="00CD2194" w:rsidRPr="00CD2194">
        <w:rPr>
          <w:rFonts w:cs="Times New Roman"/>
          <w:sz w:val="24"/>
          <w:szCs w:val="24"/>
          <w:shd w:val="clear" w:color="auto" w:fill="FFFFFF"/>
          <w:lang w:val="es-ES"/>
        </w:rPr>
        <w:t>Además, la Universidad de Oxford calcula el Economic Support Index  (en adelante, ESI), que incluye medidas para respaldar los ingresos (por ejemplo, subsidio de salarios a los empleadores, pago de la renta básica universal, aumento de las prestaciones por desempleo), así como prestaciones y pagos diferidos para los hogares (para préstamos, Vivienda y servicios comunitarios, etc.).</w:t>
      </w:r>
      <w:r w:rsidR="00CD2194">
        <w:rPr>
          <w:rFonts w:cs="Times New Roman"/>
          <w:sz w:val="24"/>
          <w:szCs w:val="24"/>
          <w:shd w:val="clear" w:color="auto" w:fill="FFFFFF"/>
          <w:lang w:val="es-ES"/>
        </w:rPr>
        <w:t xml:space="preserve"> </w:t>
      </w:r>
      <w:r w:rsidR="00E92C0A" w:rsidRPr="00E92C0A">
        <w:rPr>
          <w:rFonts w:cs="Times New Roman"/>
          <w:sz w:val="24"/>
          <w:szCs w:val="24"/>
          <w:shd w:val="clear" w:color="auto" w:fill="FFFFFF"/>
          <w:lang w:val="es-ES"/>
        </w:rPr>
        <w:t>La ESI cubre más bien medidas para apoyar a los trabajadores, la población y no directamente a las empresas; sin embargo, estas medidas también contribuyen a la preservación de las empresas al estimular la demanda agregada y cofinanciar puestos de trabajo del estado. El apoyo fiscal de Bruegel incluye una gama mucho más amplia de medidas, incluida una orden gubernamental adicional, exenciones y aplazamientos fiscales para empresas, aplazamientos de subsidios para préstamos bancarios, garantías gubernamentales, etc.</w:t>
      </w:r>
    </w:p>
    <w:p w:rsidR="00682CBA" w:rsidRDefault="00682CBA"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E92C0A" w:rsidRDefault="00682CBA"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682CBA">
        <w:rPr>
          <w:rFonts w:cs="Times New Roman"/>
          <w:sz w:val="24"/>
          <w:szCs w:val="24"/>
          <w:shd w:val="clear" w:color="auto" w:fill="FFFFFF"/>
          <w:lang w:val="es-ES"/>
        </w:rPr>
        <w:lastRenderedPageBreak/>
        <w:t>Datos sobre el curso de la primera etapa de la pandemia en los países de la muestra</w:t>
      </w:r>
      <w:r>
        <w:rPr>
          <w:rFonts w:cs="Times New Roman"/>
          <w:sz w:val="24"/>
          <w:szCs w:val="24"/>
          <w:shd w:val="clear" w:color="auto" w:fill="FFFFFF"/>
          <w:lang w:val="es-ES"/>
        </w:rPr>
        <w:t>:</w:t>
      </w:r>
    </w:p>
    <w:p w:rsidR="00682CBA" w:rsidRPr="00682CBA" w:rsidRDefault="00682CBA" w:rsidP="00682CBA">
      <w:pPr>
        <w:spacing w:after="0"/>
        <w:rPr>
          <w:rFonts w:cs="Times New Roman"/>
          <w:color w:val="000000"/>
          <w:sz w:val="24"/>
          <w:szCs w:val="24"/>
          <w:lang w:val="en-US"/>
        </w:rPr>
      </w:pPr>
      <w:r w:rsidRPr="00682CBA">
        <w:rPr>
          <w:rFonts w:cs="Times New Roman"/>
          <w:b/>
          <w:i/>
          <w:sz w:val="24"/>
          <w:szCs w:val="24"/>
          <w:lang w:val="en-US"/>
        </w:rPr>
        <w:t>[</w:t>
      </w:r>
      <w:proofErr w:type="spellStart"/>
      <w:r w:rsidRPr="00682CBA">
        <w:rPr>
          <w:rFonts w:cs="Times New Roman"/>
          <w:b/>
          <w:i/>
          <w:sz w:val="24"/>
          <w:szCs w:val="24"/>
          <w:lang w:val="en-US"/>
        </w:rPr>
        <w:t>Worldometer</w:t>
      </w:r>
      <w:proofErr w:type="spellEnd"/>
      <w:r w:rsidRPr="00682CBA">
        <w:rPr>
          <w:rFonts w:cs="Times New Roman"/>
          <w:b/>
          <w:i/>
          <w:sz w:val="24"/>
          <w:szCs w:val="24"/>
          <w:lang w:val="en-US"/>
        </w:rPr>
        <w:t xml:space="preserve"> (https://www.worldometers.info/coronavirus/#countries)]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1559"/>
        <w:gridCol w:w="1701"/>
        <w:gridCol w:w="1417"/>
        <w:gridCol w:w="1418"/>
      </w:tblGrid>
      <w:tr w:rsidR="009619CA" w:rsidRPr="009619CA" w:rsidTr="009619CA">
        <w:trPr>
          <w:trHeight w:val="319"/>
        </w:trPr>
        <w:tc>
          <w:tcPr>
            <w:tcW w:w="1384" w:type="dxa"/>
          </w:tcPr>
          <w:p w:rsidR="009619CA" w:rsidRPr="009619CA" w:rsidRDefault="009619CA" w:rsidP="007F4C03">
            <w:pPr>
              <w:pStyle w:val="Default"/>
              <w:jc w:val="center"/>
              <w:rPr>
                <w:sz w:val="22"/>
                <w:szCs w:val="22"/>
                <w:lang w:val="es-ES"/>
              </w:rPr>
            </w:pPr>
            <w:r>
              <w:rPr>
                <w:sz w:val="22"/>
                <w:szCs w:val="22"/>
                <w:lang w:val="es-ES"/>
              </w:rPr>
              <w:t>País</w:t>
            </w:r>
          </w:p>
        </w:tc>
        <w:tc>
          <w:tcPr>
            <w:tcW w:w="1985" w:type="dxa"/>
          </w:tcPr>
          <w:p w:rsidR="009619CA" w:rsidRPr="009619CA" w:rsidRDefault="009619CA" w:rsidP="007F4C03">
            <w:pPr>
              <w:pStyle w:val="Default"/>
              <w:jc w:val="center"/>
              <w:rPr>
                <w:sz w:val="22"/>
                <w:szCs w:val="22"/>
                <w:lang w:val="es-ES"/>
              </w:rPr>
            </w:pPr>
            <w:r w:rsidRPr="009619CA">
              <w:rPr>
                <w:sz w:val="22"/>
                <w:szCs w:val="22"/>
                <w:lang w:val="es-ES"/>
              </w:rPr>
              <w:t>Fecha de inicio de la epidemia (más de 100 infectados por día)</w:t>
            </w:r>
          </w:p>
        </w:tc>
        <w:tc>
          <w:tcPr>
            <w:tcW w:w="1559" w:type="dxa"/>
          </w:tcPr>
          <w:p w:rsidR="009619CA" w:rsidRPr="009619CA" w:rsidRDefault="009619CA" w:rsidP="007F4C03">
            <w:pPr>
              <w:pStyle w:val="Default"/>
              <w:jc w:val="center"/>
              <w:rPr>
                <w:sz w:val="22"/>
                <w:szCs w:val="22"/>
                <w:lang w:val="es-ES"/>
              </w:rPr>
            </w:pPr>
            <w:r w:rsidRPr="009619CA">
              <w:rPr>
                <w:sz w:val="22"/>
                <w:szCs w:val="22"/>
                <w:lang w:val="es-ES"/>
              </w:rPr>
              <w:t>Fecha del pico de infección diaria</w:t>
            </w:r>
          </w:p>
        </w:tc>
        <w:tc>
          <w:tcPr>
            <w:tcW w:w="1701" w:type="dxa"/>
          </w:tcPr>
          <w:p w:rsidR="009619CA" w:rsidRPr="009619CA" w:rsidRDefault="009619CA" w:rsidP="007F4C03">
            <w:pPr>
              <w:pStyle w:val="Default"/>
              <w:jc w:val="center"/>
              <w:rPr>
                <w:sz w:val="22"/>
                <w:szCs w:val="22"/>
                <w:lang w:val="es-ES"/>
              </w:rPr>
            </w:pPr>
            <w:r w:rsidRPr="009619CA">
              <w:rPr>
                <w:sz w:val="22"/>
                <w:szCs w:val="22"/>
                <w:lang w:val="es-ES"/>
              </w:rPr>
              <w:t>El número de infecciones en el pico, personas</w:t>
            </w:r>
          </w:p>
        </w:tc>
        <w:tc>
          <w:tcPr>
            <w:tcW w:w="1417" w:type="dxa"/>
          </w:tcPr>
          <w:p w:rsidR="009619CA" w:rsidRPr="009619CA" w:rsidRDefault="009619CA" w:rsidP="007F4C03">
            <w:pPr>
              <w:pStyle w:val="Default"/>
              <w:jc w:val="center"/>
              <w:rPr>
                <w:sz w:val="22"/>
                <w:szCs w:val="22"/>
                <w:lang w:val="es-ES"/>
              </w:rPr>
            </w:pPr>
            <w:r w:rsidRPr="009619CA">
              <w:rPr>
                <w:sz w:val="22"/>
                <w:szCs w:val="22"/>
                <w:lang w:val="es-ES"/>
              </w:rPr>
              <w:t>Fecha de las muertes diarias pico</w:t>
            </w:r>
          </w:p>
        </w:tc>
        <w:tc>
          <w:tcPr>
            <w:tcW w:w="1418" w:type="dxa"/>
          </w:tcPr>
          <w:p w:rsidR="009619CA" w:rsidRPr="009619CA" w:rsidRDefault="009619CA" w:rsidP="007F4C03">
            <w:pPr>
              <w:pStyle w:val="Default"/>
              <w:jc w:val="center"/>
              <w:rPr>
                <w:sz w:val="22"/>
                <w:szCs w:val="22"/>
                <w:lang w:val="es-ES"/>
              </w:rPr>
            </w:pPr>
            <w:r w:rsidRPr="009619CA">
              <w:rPr>
                <w:sz w:val="22"/>
                <w:szCs w:val="22"/>
                <w:lang w:val="es-ES"/>
              </w:rPr>
              <w:t>El número de muertes en el pico, personas</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China</w:t>
            </w:r>
          </w:p>
        </w:tc>
        <w:tc>
          <w:tcPr>
            <w:tcW w:w="1985" w:type="dxa"/>
          </w:tcPr>
          <w:p w:rsidR="009619CA" w:rsidRPr="009619CA" w:rsidRDefault="009619CA" w:rsidP="007F4C03">
            <w:pPr>
              <w:pStyle w:val="Default"/>
              <w:jc w:val="center"/>
              <w:rPr>
                <w:sz w:val="22"/>
                <w:szCs w:val="22"/>
                <w:lang w:val="es-ES"/>
              </w:rPr>
            </w:pPr>
            <w:r w:rsidRPr="006E4863">
              <w:rPr>
                <w:sz w:val="22"/>
                <w:szCs w:val="22"/>
              </w:rPr>
              <w:t>21</w:t>
            </w:r>
            <w:r>
              <w:rPr>
                <w:sz w:val="22"/>
                <w:szCs w:val="22"/>
              </w:rPr>
              <w:t>/</w:t>
            </w:r>
            <w:r>
              <w:rPr>
                <w:sz w:val="22"/>
                <w:szCs w:val="22"/>
                <w:lang w:val="es-ES"/>
              </w:rPr>
              <w:t>01</w:t>
            </w:r>
          </w:p>
        </w:tc>
        <w:tc>
          <w:tcPr>
            <w:tcW w:w="1559" w:type="dxa"/>
          </w:tcPr>
          <w:p w:rsidR="009619CA" w:rsidRPr="006E4863" w:rsidRDefault="009619CA" w:rsidP="009619CA">
            <w:pPr>
              <w:pStyle w:val="Default"/>
              <w:jc w:val="center"/>
              <w:rPr>
                <w:sz w:val="22"/>
                <w:szCs w:val="22"/>
              </w:rPr>
            </w:pPr>
            <w:r w:rsidRPr="006E4863">
              <w:rPr>
                <w:sz w:val="22"/>
                <w:szCs w:val="22"/>
              </w:rPr>
              <w:t>4</w:t>
            </w:r>
            <w:r>
              <w:rPr>
                <w:sz w:val="22"/>
                <w:szCs w:val="22"/>
              </w:rPr>
              <w:t>/02</w:t>
            </w:r>
          </w:p>
        </w:tc>
        <w:tc>
          <w:tcPr>
            <w:tcW w:w="1701" w:type="dxa"/>
          </w:tcPr>
          <w:p w:rsidR="009619CA" w:rsidRPr="006E4863" w:rsidRDefault="009619CA" w:rsidP="007F4C03">
            <w:pPr>
              <w:pStyle w:val="Default"/>
              <w:jc w:val="center"/>
              <w:rPr>
                <w:sz w:val="22"/>
                <w:szCs w:val="22"/>
              </w:rPr>
            </w:pPr>
            <w:r>
              <w:rPr>
                <w:sz w:val="22"/>
                <w:szCs w:val="22"/>
              </w:rPr>
              <w:t>3884</w:t>
            </w:r>
          </w:p>
        </w:tc>
        <w:tc>
          <w:tcPr>
            <w:tcW w:w="1417" w:type="dxa"/>
          </w:tcPr>
          <w:p w:rsidR="009619CA" w:rsidRPr="006E4863" w:rsidRDefault="009619CA" w:rsidP="007F4C03">
            <w:pPr>
              <w:pStyle w:val="Default"/>
              <w:jc w:val="center"/>
              <w:rPr>
                <w:sz w:val="22"/>
                <w:szCs w:val="22"/>
              </w:rPr>
            </w:pPr>
            <w:r w:rsidRPr="006E4863">
              <w:rPr>
                <w:sz w:val="22"/>
                <w:szCs w:val="22"/>
              </w:rPr>
              <w:t>23</w:t>
            </w:r>
            <w:r>
              <w:rPr>
                <w:sz w:val="22"/>
                <w:szCs w:val="22"/>
              </w:rPr>
              <w:t>/02</w:t>
            </w:r>
          </w:p>
        </w:tc>
        <w:tc>
          <w:tcPr>
            <w:tcW w:w="1418" w:type="dxa"/>
          </w:tcPr>
          <w:p w:rsidR="009619CA" w:rsidRPr="006E4863" w:rsidRDefault="009619CA" w:rsidP="007F4C03">
            <w:pPr>
              <w:pStyle w:val="Default"/>
              <w:jc w:val="center"/>
              <w:rPr>
                <w:sz w:val="22"/>
                <w:szCs w:val="22"/>
              </w:rPr>
            </w:pPr>
            <w:r w:rsidRPr="006E4863">
              <w:rPr>
                <w:sz w:val="22"/>
                <w:szCs w:val="22"/>
              </w:rPr>
              <w:t>150</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Francia</w:t>
            </w:r>
          </w:p>
        </w:tc>
        <w:tc>
          <w:tcPr>
            <w:tcW w:w="1985" w:type="dxa"/>
          </w:tcPr>
          <w:p w:rsidR="009619CA" w:rsidRPr="006E4863" w:rsidRDefault="009619CA" w:rsidP="009619CA">
            <w:pPr>
              <w:pStyle w:val="Default"/>
              <w:jc w:val="center"/>
              <w:rPr>
                <w:sz w:val="22"/>
                <w:szCs w:val="22"/>
              </w:rPr>
            </w:pPr>
            <w:r w:rsidRPr="006E4863">
              <w:rPr>
                <w:sz w:val="22"/>
                <w:szCs w:val="22"/>
              </w:rPr>
              <w:t>5</w:t>
            </w:r>
            <w:r>
              <w:rPr>
                <w:sz w:val="22"/>
                <w:szCs w:val="22"/>
              </w:rPr>
              <w:t>/03</w:t>
            </w:r>
          </w:p>
        </w:tc>
        <w:tc>
          <w:tcPr>
            <w:tcW w:w="1559" w:type="dxa"/>
          </w:tcPr>
          <w:p w:rsidR="009619CA" w:rsidRPr="006E4863" w:rsidRDefault="009619CA" w:rsidP="009619CA">
            <w:pPr>
              <w:pStyle w:val="Default"/>
              <w:jc w:val="center"/>
              <w:rPr>
                <w:sz w:val="22"/>
                <w:szCs w:val="22"/>
              </w:rPr>
            </w:pPr>
            <w:r w:rsidRPr="006E4863">
              <w:rPr>
                <w:sz w:val="22"/>
                <w:szCs w:val="22"/>
              </w:rPr>
              <w:t>31</w:t>
            </w:r>
            <w:r>
              <w:rPr>
                <w:sz w:val="22"/>
                <w:szCs w:val="22"/>
              </w:rPr>
              <w:t>/03</w:t>
            </w:r>
          </w:p>
        </w:tc>
        <w:tc>
          <w:tcPr>
            <w:tcW w:w="1701" w:type="dxa"/>
          </w:tcPr>
          <w:p w:rsidR="009619CA" w:rsidRPr="006E4863" w:rsidRDefault="009619CA" w:rsidP="007F4C03">
            <w:pPr>
              <w:pStyle w:val="Default"/>
              <w:jc w:val="center"/>
              <w:rPr>
                <w:sz w:val="22"/>
                <w:szCs w:val="22"/>
              </w:rPr>
            </w:pPr>
            <w:r w:rsidRPr="006E4863">
              <w:rPr>
                <w:sz w:val="22"/>
                <w:szCs w:val="22"/>
              </w:rPr>
              <w:t>7578</w:t>
            </w:r>
          </w:p>
        </w:tc>
        <w:tc>
          <w:tcPr>
            <w:tcW w:w="1417" w:type="dxa"/>
          </w:tcPr>
          <w:p w:rsidR="009619CA" w:rsidRPr="006E4863" w:rsidRDefault="009619CA" w:rsidP="009619CA">
            <w:pPr>
              <w:pStyle w:val="Default"/>
              <w:jc w:val="center"/>
              <w:rPr>
                <w:sz w:val="22"/>
                <w:szCs w:val="22"/>
              </w:rPr>
            </w:pPr>
            <w:r w:rsidRPr="006E4863">
              <w:rPr>
                <w:sz w:val="22"/>
                <w:szCs w:val="22"/>
              </w:rPr>
              <w:t>15</w:t>
            </w:r>
            <w:r>
              <w:rPr>
                <w:sz w:val="22"/>
                <w:szCs w:val="22"/>
              </w:rPr>
              <w:t>/04</w:t>
            </w:r>
          </w:p>
        </w:tc>
        <w:tc>
          <w:tcPr>
            <w:tcW w:w="1418" w:type="dxa"/>
          </w:tcPr>
          <w:p w:rsidR="009619CA" w:rsidRPr="006E4863" w:rsidRDefault="009619CA" w:rsidP="007F4C03">
            <w:pPr>
              <w:pStyle w:val="Default"/>
              <w:jc w:val="center"/>
              <w:rPr>
                <w:sz w:val="22"/>
                <w:szCs w:val="22"/>
              </w:rPr>
            </w:pPr>
            <w:r w:rsidRPr="006E4863">
              <w:rPr>
                <w:sz w:val="22"/>
                <w:szCs w:val="22"/>
              </w:rPr>
              <w:t>1438</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Alemania</w:t>
            </w:r>
          </w:p>
        </w:tc>
        <w:tc>
          <w:tcPr>
            <w:tcW w:w="1985" w:type="dxa"/>
          </w:tcPr>
          <w:p w:rsidR="009619CA" w:rsidRPr="006E4863" w:rsidRDefault="009619CA" w:rsidP="009619CA">
            <w:pPr>
              <w:pStyle w:val="Default"/>
              <w:jc w:val="center"/>
              <w:rPr>
                <w:sz w:val="22"/>
                <w:szCs w:val="22"/>
              </w:rPr>
            </w:pPr>
            <w:r w:rsidRPr="006E4863">
              <w:rPr>
                <w:sz w:val="22"/>
                <w:szCs w:val="22"/>
              </w:rPr>
              <w:t>5</w:t>
            </w:r>
            <w:r>
              <w:rPr>
                <w:sz w:val="22"/>
                <w:szCs w:val="22"/>
              </w:rPr>
              <w:t>/03</w:t>
            </w:r>
          </w:p>
        </w:tc>
        <w:tc>
          <w:tcPr>
            <w:tcW w:w="1559" w:type="dxa"/>
          </w:tcPr>
          <w:p w:rsidR="009619CA" w:rsidRPr="006E4863" w:rsidRDefault="009619CA" w:rsidP="009619CA">
            <w:pPr>
              <w:pStyle w:val="Default"/>
              <w:jc w:val="center"/>
              <w:rPr>
                <w:sz w:val="22"/>
                <w:szCs w:val="22"/>
              </w:rPr>
            </w:pPr>
            <w:r w:rsidRPr="006E4863">
              <w:rPr>
                <w:sz w:val="22"/>
                <w:szCs w:val="22"/>
              </w:rPr>
              <w:t>27</w:t>
            </w:r>
            <w:r>
              <w:rPr>
                <w:sz w:val="22"/>
                <w:szCs w:val="22"/>
              </w:rPr>
              <w:t>/03</w:t>
            </w:r>
          </w:p>
        </w:tc>
        <w:tc>
          <w:tcPr>
            <w:tcW w:w="1701" w:type="dxa"/>
          </w:tcPr>
          <w:p w:rsidR="009619CA" w:rsidRPr="006E4863" w:rsidRDefault="009619CA" w:rsidP="007F4C03">
            <w:pPr>
              <w:pStyle w:val="Default"/>
              <w:jc w:val="center"/>
              <w:rPr>
                <w:sz w:val="22"/>
                <w:szCs w:val="22"/>
              </w:rPr>
            </w:pPr>
            <w:r w:rsidRPr="006E4863">
              <w:rPr>
                <w:sz w:val="22"/>
                <w:szCs w:val="22"/>
              </w:rPr>
              <w:t>6933</w:t>
            </w:r>
          </w:p>
        </w:tc>
        <w:tc>
          <w:tcPr>
            <w:tcW w:w="1417" w:type="dxa"/>
          </w:tcPr>
          <w:p w:rsidR="009619CA" w:rsidRPr="006E4863" w:rsidRDefault="009619CA" w:rsidP="009619CA">
            <w:pPr>
              <w:pStyle w:val="Default"/>
              <w:jc w:val="center"/>
              <w:rPr>
                <w:sz w:val="22"/>
                <w:szCs w:val="22"/>
              </w:rPr>
            </w:pPr>
            <w:r w:rsidRPr="006E4863">
              <w:rPr>
                <w:sz w:val="22"/>
                <w:szCs w:val="22"/>
              </w:rPr>
              <w:t>8</w:t>
            </w:r>
            <w:r>
              <w:rPr>
                <w:sz w:val="22"/>
                <w:szCs w:val="22"/>
              </w:rPr>
              <w:t>/04</w:t>
            </w:r>
          </w:p>
        </w:tc>
        <w:tc>
          <w:tcPr>
            <w:tcW w:w="1418" w:type="dxa"/>
          </w:tcPr>
          <w:p w:rsidR="009619CA" w:rsidRPr="006E4863" w:rsidRDefault="009619CA" w:rsidP="007F4C03">
            <w:pPr>
              <w:pStyle w:val="Default"/>
              <w:jc w:val="center"/>
              <w:rPr>
                <w:sz w:val="22"/>
                <w:szCs w:val="22"/>
              </w:rPr>
            </w:pPr>
            <w:r w:rsidRPr="006E4863">
              <w:rPr>
                <w:sz w:val="22"/>
                <w:szCs w:val="22"/>
              </w:rPr>
              <w:t>333</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Italia</w:t>
            </w:r>
          </w:p>
        </w:tc>
        <w:tc>
          <w:tcPr>
            <w:tcW w:w="1985" w:type="dxa"/>
          </w:tcPr>
          <w:p w:rsidR="009619CA" w:rsidRPr="006E4863" w:rsidRDefault="009619CA" w:rsidP="009619CA">
            <w:pPr>
              <w:pStyle w:val="Default"/>
              <w:jc w:val="center"/>
              <w:rPr>
                <w:sz w:val="22"/>
                <w:szCs w:val="22"/>
              </w:rPr>
            </w:pPr>
            <w:r w:rsidRPr="006E4863">
              <w:rPr>
                <w:sz w:val="22"/>
                <w:szCs w:val="22"/>
              </w:rPr>
              <w:t>26</w:t>
            </w:r>
            <w:r>
              <w:rPr>
                <w:sz w:val="22"/>
                <w:szCs w:val="22"/>
              </w:rPr>
              <w:t>/02</w:t>
            </w:r>
          </w:p>
        </w:tc>
        <w:tc>
          <w:tcPr>
            <w:tcW w:w="1559" w:type="dxa"/>
          </w:tcPr>
          <w:p w:rsidR="009619CA" w:rsidRPr="006E4863" w:rsidRDefault="009619CA" w:rsidP="009619CA">
            <w:pPr>
              <w:pStyle w:val="Default"/>
              <w:jc w:val="center"/>
              <w:rPr>
                <w:sz w:val="22"/>
                <w:szCs w:val="22"/>
              </w:rPr>
            </w:pPr>
            <w:r w:rsidRPr="006E4863">
              <w:rPr>
                <w:sz w:val="22"/>
                <w:szCs w:val="22"/>
              </w:rPr>
              <w:t>21</w:t>
            </w:r>
            <w:r>
              <w:rPr>
                <w:sz w:val="22"/>
                <w:szCs w:val="22"/>
              </w:rPr>
              <w:t>/03</w:t>
            </w:r>
          </w:p>
        </w:tc>
        <w:tc>
          <w:tcPr>
            <w:tcW w:w="1701" w:type="dxa"/>
          </w:tcPr>
          <w:p w:rsidR="009619CA" w:rsidRPr="006E4863" w:rsidRDefault="009619CA" w:rsidP="007F4C03">
            <w:pPr>
              <w:pStyle w:val="Default"/>
              <w:jc w:val="center"/>
              <w:rPr>
                <w:sz w:val="22"/>
                <w:szCs w:val="22"/>
              </w:rPr>
            </w:pPr>
            <w:r w:rsidRPr="006E4863">
              <w:rPr>
                <w:sz w:val="22"/>
                <w:szCs w:val="22"/>
              </w:rPr>
              <w:t>6557</w:t>
            </w:r>
          </w:p>
        </w:tc>
        <w:tc>
          <w:tcPr>
            <w:tcW w:w="1417" w:type="dxa"/>
          </w:tcPr>
          <w:p w:rsidR="009619CA" w:rsidRPr="006E4863" w:rsidRDefault="009619CA" w:rsidP="009619CA">
            <w:pPr>
              <w:pStyle w:val="Default"/>
              <w:jc w:val="center"/>
              <w:rPr>
                <w:sz w:val="22"/>
                <w:szCs w:val="22"/>
              </w:rPr>
            </w:pPr>
            <w:r w:rsidRPr="006E4863">
              <w:rPr>
                <w:sz w:val="22"/>
                <w:szCs w:val="22"/>
              </w:rPr>
              <w:t>27</w:t>
            </w:r>
            <w:r>
              <w:rPr>
                <w:sz w:val="22"/>
                <w:szCs w:val="22"/>
              </w:rPr>
              <w:t>/03</w:t>
            </w:r>
          </w:p>
        </w:tc>
        <w:tc>
          <w:tcPr>
            <w:tcW w:w="1418" w:type="dxa"/>
          </w:tcPr>
          <w:p w:rsidR="009619CA" w:rsidRPr="006E4863" w:rsidRDefault="009619CA" w:rsidP="007F4C03">
            <w:pPr>
              <w:pStyle w:val="Default"/>
              <w:jc w:val="center"/>
              <w:rPr>
                <w:sz w:val="22"/>
                <w:szCs w:val="22"/>
              </w:rPr>
            </w:pPr>
            <w:r w:rsidRPr="006E4863">
              <w:rPr>
                <w:sz w:val="22"/>
                <w:szCs w:val="22"/>
              </w:rPr>
              <w:t>919</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EEUU</w:t>
            </w:r>
          </w:p>
        </w:tc>
        <w:tc>
          <w:tcPr>
            <w:tcW w:w="1985" w:type="dxa"/>
          </w:tcPr>
          <w:p w:rsidR="009619CA" w:rsidRPr="006E4863" w:rsidRDefault="009619CA" w:rsidP="009619CA">
            <w:pPr>
              <w:pStyle w:val="Default"/>
              <w:jc w:val="center"/>
              <w:rPr>
                <w:sz w:val="22"/>
                <w:szCs w:val="22"/>
              </w:rPr>
            </w:pPr>
            <w:r w:rsidRPr="006E4863">
              <w:rPr>
                <w:sz w:val="22"/>
                <w:szCs w:val="22"/>
              </w:rPr>
              <w:t>7</w:t>
            </w:r>
            <w:r>
              <w:rPr>
                <w:sz w:val="22"/>
                <w:szCs w:val="22"/>
              </w:rPr>
              <w:t>/03</w:t>
            </w:r>
          </w:p>
        </w:tc>
        <w:tc>
          <w:tcPr>
            <w:tcW w:w="1559" w:type="dxa"/>
          </w:tcPr>
          <w:p w:rsidR="009619CA" w:rsidRPr="006E4863" w:rsidRDefault="009619CA" w:rsidP="009619CA">
            <w:pPr>
              <w:pStyle w:val="Default"/>
              <w:jc w:val="center"/>
              <w:rPr>
                <w:sz w:val="22"/>
                <w:szCs w:val="22"/>
              </w:rPr>
            </w:pPr>
            <w:r w:rsidRPr="006E4863">
              <w:rPr>
                <w:sz w:val="22"/>
                <w:szCs w:val="22"/>
              </w:rPr>
              <w:t>24</w:t>
            </w:r>
            <w:r>
              <w:rPr>
                <w:sz w:val="22"/>
                <w:szCs w:val="22"/>
              </w:rPr>
              <w:t>/04</w:t>
            </w:r>
          </w:p>
        </w:tc>
        <w:tc>
          <w:tcPr>
            <w:tcW w:w="1701" w:type="dxa"/>
          </w:tcPr>
          <w:p w:rsidR="009619CA" w:rsidRPr="006E4863" w:rsidRDefault="009619CA" w:rsidP="007F4C03">
            <w:pPr>
              <w:pStyle w:val="Default"/>
              <w:jc w:val="center"/>
              <w:rPr>
                <w:sz w:val="22"/>
                <w:szCs w:val="22"/>
              </w:rPr>
            </w:pPr>
            <w:r w:rsidRPr="006E4863">
              <w:rPr>
                <w:sz w:val="22"/>
                <w:szCs w:val="22"/>
              </w:rPr>
              <w:t>39072</w:t>
            </w:r>
          </w:p>
        </w:tc>
        <w:tc>
          <w:tcPr>
            <w:tcW w:w="1417" w:type="dxa"/>
          </w:tcPr>
          <w:p w:rsidR="009619CA" w:rsidRPr="006E4863" w:rsidRDefault="009619CA" w:rsidP="009619CA">
            <w:pPr>
              <w:pStyle w:val="Default"/>
              <w:jc w:val="center"/>
              <w:rPr>
                <w:sz w:val="22"/>
                <w:szCs w:val="22"/>
              </w:rPr>
            </w:pPr>
            <w:r w:rsidRPr="006E4863">
              <w:rPr>
                <w:sz w:val="22"/>
                <w:szCs w:val="22"/>
              </w:rPr>
              <w:t>21</w:t>
            </w:r>
            <w:r>
              <w:rPr>
                <w:sz w:val="22"/>
                <w:szCs w:val="22"/>
              </w:rPr>
              <w:t>/04</w:t>
            </w:r>
          </w:p>
        </w:tc>
        <w:tc>
          <w:tcPr>
            <w:tcW w:w="1418" w:type="dxa"/>
          </w:tcPr>
          <w:p w:rsidR="009619CA" w:rsidRPr="006E4863" w:rsidRDefault="009619CA" w:rsidP="007F4C03">
            <w:pPr>
              <w:pStyle w:val="Default"/>
              <w:jc w:val="center"/>
              <w:rPr>
                <w:sz w:val="22"/>
                <w:szCs w:val="22"/>
              </w:rPr>
            </w:pPr>
            <w:r w:rsidRPr="006E4863">
              <w:rPr>
                <w:sz w:val="22"/>
                <w:szCs w:val="22"/>
              </w:rPr>
              <w:t>2693</w:t>
            </w:r>
          </w:p>
        </w:tc>
      </w:tr>
      <w:tr w:rsidR="009619CA" w:rsidRPr="006E4863" w:rsidTr="009619CA">
        <w:trPr>
          <w:trHeight w:val="90"/>
        </w:trPr>
        <w:tc>
          <w:tcPr>
            <w:tcW w:w="1384" w:type="dxa"/>
          </w:tcPr>
          <w:p w:rsidR="009619CA" w:rsidRPr="009619CA" w:rsidRDefault="009619CA" w:rsidP="007F4C03">
            <w:pPr>
              <w:pStyle w:val="Default"/>
              <w:jc w:val="center"/>
              <w:rPr>
                <w:sz w:val="22"/>
                <w:szCs w:val="22"/>
                <w:lang w:val="es-ES"/>
              </w:rPr>
            </w:pPr>
            <w:r>
              <w:rPr>
                <w:sz w:val="22"/>
                <w:szCs w:val="22"/>
                <w:lang w:val="es-ES"/>
              </w:rPr>
              <w:t>República Checa</w:t>
            </w:r>
          </w:p>
        </w:tc>
        <w:tc>
          <w:tcPr>
            <w:tcW w:w="1985" w:type="dxa"/>
          </w:tcPr>
          <w:p w:rsidR="009619CA" w:rsidRPr="006E4863" w:rsidRDefault="009619CA" w:rsidP="009619CA">
            <w:pPr>
              <w:pStyle w:val="Default"/>
              <w:jc w:val="center"/>
              <w:rPr>
                <w:sz w:val="22"/>
                <w:szCs w:val="22"/>
              </w:rPr>
            </w:pPr>
            <w:r w:rsidRPr="006E4863">
              <w:rPr>
                <w:sz w:val="22"/>
                <w:szCs w:val="22"/>
              </w:rPr>
              <w:t>15</w:t>
            </w:r>
            <w:r>
              <w:rPr>
                <w:sz w:val="22"/>
                <w:szCs w:val="22"/>
              </w:rPr>
              <w:t>/03</w:t>
            </w:r>
          </w:p>
        </w:tc>
        <w:tc>
          <w:tcPr>
            <w:tcW w:w="1559" w:type="dxa"/>
          </w:tcPr>
          <w:p w:rsidR="009619CA" w:rsidRPr="006E4863" w:rsidRDefault="009619CA" w:rsidP="009619CA">
            <w:pPr>
              <w:pStyle w:val="Default"/>
              <w:jc w:val="center"/>
              <w:rPr>
                <w:sz w:val="22"/>
                <w:szCs w:val="22"/>
              </w:rPr>
            </w:pPr>
            <w:r w:rsidRPr="006E4863">
              <w:rPr>
                <w:sz w:val="22"/>
                <w:szCs w:val="22"/>
              </w:rPr>
              <w:t>27</w:t>
            </w:r>
            <w:r>
              <w:rPr>
                <w:sz w:val="22"/>
                <w:szCs w:val="22"/>
              </w:rPr>
              <w:t>/03</w:t>
            </w:r>
          </w:p>
        </w:tc>
        <w:tc>
          <w:tcPr>
            <w:tcW w:w="1701" w:type="dxa"/>
          </w:tcPr>
          <w:p w:rsidR="009619CA" w:rsidRPr="006E4863" w:rsidRDefault="009619CA" w:rsidP="007F4C03">
            <w:pPr>
              <w:pStyle w:val="Default"/>
              <w:jc w:val="center"/>
              <w:rPr>
                <w:sz w:val="22"/>
                <w:szCs w:val="22"/>
              </w:rPr>
            </w:pPr>
            <w:r w:rsidRPr="006E4863">
              <w:rPr>
                <w:sz w:val="22"/>
                <w:szCs w:val="22"/>
              </w:rPr>
              <w:t>354</w:t>
            </w:r>
          </w:p>
        </w:tc>
        <w:tc>
          <w:tcPr>
            <w:tcW w:w="1417" w:type="dxa"/>
          </w:tcPr>
          <w:p w:rsidR="009619CA" w:rsidRPr="006E4863" w:rsidRDefault="009619CA" w:rsidP="009619CA">
            <w:pPr>
              <w:pStyle w:val="Default"/>
              <w:jc w:val="center"/>
              <w:rPr>
                <w:sz w:val="22"/>
                <w:szCs w:val="22"/>
              </w:rPr>
            </w:pPr>
            <w:r w:rsidRPr="006E4863">
              <w:rPr>
                <w:sz w:val="22"/>
                <w:szCs w:val="22"/>
              </w:rPr>
              <w:t>14</w:t>
            </w:r>
            <w:r>
              <w:rPr>
                <w:sz w:val="22"/>
                <w:szCs w:val="22"/>
              </w:rPr>
              <w:t>/04</w:t>
            </w:r>
          </w:p>
        </w:tc>
        <w:tc>
          <w:tcPr>
            <w:tcW w:w="1418" w:type="dxa"/>
          </w:tcPr>
          <w:p w:rsidR="009619CA" w:rsidRPr="006E4863" w:rsidRDefault="009619CA" w:rsidP="007F4C03">
            <w:pPr>
              <w:pStyle w:val="Default"/>
              <w:jc w:val="center"/>
              <w:rPr>
                <w:sz w:val="22"/>
                <w:szCs w:val="22"/>
              </w:rPr>
            </w:pPr>
            <w:r w:rsidRPr="006E4863">
              <w:rPr>
                <w:sz w:val="22"/>
                <w:szCs w:val="22"/>
              </w:rPr>
              <w:t>18</w:t>
            </w:r>
          </w:p>
        </w:tc>
      </w:tr>
    </w:tbl>
    <w:p w:rsidR="00682CBA" w:rsidRDefault="00682CBA" w:rsidP="00E6236E">
      <w:pPr>
        <w:pStyle w:val="a7"/>
        <w:shd w:val="clear" w:color="auto" w:fill="FFFFFF"/>
        <w:tabs>
          <w:tab w:val="left" w:pos="0"/>
          <w:tab w:val="left" w:pos="284"/>
        </w:tabs>
        <w:spacing w:after="0" w:line="360" w:lineRule="auto"/>
        <w:ind w:left="0"/>
        <w:rPr>
          <w:rFonts w:cs="Times New Roman"/>
          <w:sz w:val="24"/>
          <w:szCs w:val="24"/>
          <w:shd w:val="clear" w:color="auto" w:fill="FFFFFF"/>
        </w:rPr>
      </w:pPr>
    </w:p>
    <w:p w:rsidR="009619CA" w:rsidRPr="006C74AA" w:rsidRDefault="006C74AA" w:rsidP="00E6236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6C74AA">
        <w:rPr>
          <w:rFonts w:cs="Times New Roman"/>
          <w:sz w:val="24"/>
          <w:szCs w:val="24"/>
          <w:shd w:val="clear" w:color="auto" w:fill="FFFFFF"/>
          <w:lang w:val="es-ES"/>
        </w:rPr>
        <w:t>Medidas de política pública (GSI - índice de restricciones de cuarentena de 0 a 100, ESI - índice de apoyo económico de 0 a 100):</w:t>
      </w:r>
    </w:p>
    <w:p w:rsidR="006C74AA" w:rsidRPr="00D7166A" w:rsidRDefault="00D7166A" w:rsidP="00E6236E">
      <w:pPr>
        <w:pStyle w:val="a7"/>
        <w:shd w:val="clear" w:color="auto" w:fill="FFFFFF"/>
        <w:tabs>
          <w:tab w:val="left" w:pos="0"/>
          <w:tab w:val="left" w:pos="284"/>
        </w:tabs>
        <w:spacing w:after="0" w:line="360" w:lineRule="auto"/>
        <w:ind w:left="0"/>
        <w:rPr>
          <w:rFonts w:cs="Times New Roman"/>
          <w:b/>
          <w:i/>
          <w:sz w:val="24"/>
          <w:szCs w:val="24"/>
          <w:lang w:val="en-US"/>
        </w:rPr>
      </w:pPr>
      <w:r w:rsidRPr="00D7166A">
        <w:rPr>
          <w:rFonts w:cs="Times New Roman"/>
          <w:b/>
          <w:i/>
          <w:sz w:val="24"/>
          <w:szCs w:val="24"/>
          <w:lang w:val="en-US"/>
        </w:rPr>
        <w:t>[Coronavirus Government Response Tracker (</w:t>
      </w:r>
      <w:hyperlink r:id="rId10" w:history="1">
        <w:r w:rsidRPr="00D7166A">
          <w:rPr>
            <w:b/>
            <w:i/>
            <w:sz w:val="24"/>
            <w:szCs w:val="24"/>
            <w:lang w:val="en-US"/>
          </w:rPr>
          <w:t>https://www.bsg.ox.ac.uk/research/research-projects/coronavirus-government-response-tracker</w:t>
        </w:r>
      </w:hyperlink>
      <w:r w:rsidRPr="00D7166A">
        <w:rPr>
          <w:rFonts w:cs="Times New Roman"/>
          <w:b/>
          <w:i/>
          <w:sz w:val="24"/>
          <w:szCs w:val="24"/>
          <w:lang w:val="en-US"/>
        </w:rPr>
        <w:t>)]</w:t>
      </w:r>
    </w:p>
    <w:tbl>
      <w:tblPr>
        <w:tblStyle w:val="a6"/>
        <w:tblW w:w="0" w:type="auto"/>
        <w:jc w:val="center"/>
        <w:tblLook w:val="04A0" w:firstRow="1" w:lastRow="0" w:firstColumn="1" w:lastColumn="0" w:noHBand="0" w:noVBand="1"/>
      </w:tblPr>
      <w:tblGrid>
        <w:gridCol w:w="1417"/>
        <w:gridCol w:w="1384"/>
        <w:gridCol w:w="1823"/>
        <w:gridCol w:w="1694"/>
        <w:gridCol w:w="1558"/>
        <w:gridCol w:w="1694"/>
      </w:tblGrid>
      <w:tr w:rsidR="00182C32" w:rsidRPr="00182C32" w:rsidTr="00182C32">
        <w:trPr>
          <w:jc w:val="center"/>
        </w:trPr>
        <w:tc>
          <w:tcPr>
            <w:tcW w:w="1418" w:type="dxa"/>
            <w:vMerge w:val="restart"/>
          </w:tcPr>
          <w:p w:rsidR="00182C32" w:rsidRPr="00182C32" w:rsidRDefault="00182C32" w:rsidP="007F4C03">
            <w:pPr>
              <w:jc w:val="center"/>
              <w:rPr>
                <w:rFonts w:cs="Times New Roman"/>
                <w:lang w:val="es-ES"/>
              </w:rPr>
            </w:pPr>
            <w:r w:rsidRPr="00182C32">
              <w:rPr>
                <w:rFonts w:cs="Times New Roman"/>
                <w:sz w:val="24"/>
                <w:lang w:val="es-ES"/>
              </w:rPr>
              <w:t>País</w:t>
            </w:r>
          </w:p>
        </w:tc>
        <w:tc>
          <w:tcPr>
            <w:tcW w:w="8153" w:type="dxa"/>
            <w:gridSpan w:val="5"/>
          </w:tcPr>
          <w:p w:rsidR="00182C32" w:rsidRPr="00182C32" w:rsidRDefault="00182C32" w:rsidP="007F4C03">
            <w:pPr>
              <w:jc w:val="center"/>
              <w:rPr>
                <w:rFonts w:cs="Times New Roman"/>
                <w:lang w:val="es-ES"/>
              </w:rPr>
            </w:pPr>
            <w:r w:rsidRPr="00182C32">
              <w:rPr>
                <w:rFonts w:cs="Times New Roman"/>
                <w:sz w:val="24"/>
                <w:lang w:val="es-ES"/>
              </w:rPr>
              <w:t>Reacción de los gobiernos (índices de la Universidad de Oxford)</w:t>
            </w:r>
          </w:p>
        </w:tc>
      </w:tr>
      <w:tr w:rsidR="00182C32" w:rsidRPr="00AF4A52" w:rsidTr="00182C32">
        <w:trPr>
          <w:jc w:val="center"/>
        </w:trPr>
        <w:tc>
          <w:tcPr>
            <w:tcW w:w="1418" w:type="dxa"/>
            <w:vMerge/>
          </w:tcPr>
          <w:p w:rsidR="00182C32" w:rsidRPr="00182C32" w:rsidRDefault="00182C32" w:rsidP="007F4C03">
            <w:pPr>
              <w:jc w:val="center"/>
              <w:rPr>
                <w:rFonts w:cs="Times New Roman"/>
                <w:lang w:val="es-ES"/>
              </w:rPr>
            </w:pPr>
          </w:p>
        </w:tc>
        <w:tc>
          <w:tcPr>
            <w:tcW w:w="1384" w:type="dxa"/>
          </w:tcPr>
          <w:p w:rsidR="00182C32" w:rsidRDefault="00182C32" w:rsidP="007F4C03">
            <w:pPr>
              <w:pStyle w:val="Default"/>
              <w:jc w:val="center"/>
              <w:rPr>
                <w:sz w:val="22"/>
                <w:szCs w:val="22"/>
                <w:lang w:val="es-ES"/>
              </w:rPr>
            </w:pPr>
            <w:r>
              <w:rPr>
                <w:sz w:val="22"/>
                <w:szCs w:val="22"/>
                <w:lang w:val="es-ES"/>
              </w:rPr>
              <w:t>Fecha</w:t>
            </w:r>
          </w:p>
          <w:p w:rsidR="00182C32" w:rsidRPr="00182C32" w:rsidRDefault="00182C32" w:rsidP="007F4C03">
            <w:pPr>
              <w:pStyle w:val="Default"/>
              <w:jc w:val="center"/>
              <w:rPr>
                <w:sz w:val="22"/>
                <w:szCs w:val="22"/>
                <w:lang w:val="es-ES"/>
              </w:rPr>
            </w:pPr>
            <w:r w:rsidRPr="00182C32">
              <w:rPr>
                <w:sz w:val="22"/>
                <w:szCs w:val="22"/>
                <w:lang w:val="es-ES"/>
              </w:rPr>
              <w:t>GSI superó la marca 50</w:t>
            </w:r>
          </w:p>
        </w:tc>
        <w:tc>
          <w:tcPr>
            <w:tcW w:w="1823" w:type="dxa"/>
          </w:tcPr>
          <w:p w:rsidR="00182C32" w:rsidRDefault="00182C32" w:rsidP="007F4C03">
            <w:pPr>
              <w:pStyle w:val="Default"/>
              <w:jc w:val="center"/>
              <w:rPr>
                <w:sz w:val="22"/>
                <w:szCs w:val="22"/>
                <w:lang w:val="es-ES"/>
              </w:rPr>
            </w:pPr>
            <w:r>
              <w:rPr>
                <w:sz w:val="22"/>
                <w:szCs w:val="22"/>
                <w:lang w:val="es-ES"/>
              </w:rPr>
              <w:t>Cantidad de días</w:t>
            </w:r>
          </w:p>
          <w:p w:rsidR="00182C32" w:rsidRPr="00182C32" w:rsidRDefault="00182C32" w:rsidP="007F4C03">
            <w:pPr>
              <w:pStyle w:val="Default"/>
              <w:jc w:val="center"/>
              <w:rPr>
                <w:sz w:val="22"/>
                <w:szCs w:val="22"/>
                <w:lang w:val="es-ES"/>
              </w:rPr>
            </w:pPr>
            <w:r w:rsidRPr="00182C32">
              <w:rPr>
                <w:sz w:val="22"/>
                <w:szCs w:val="22"/>
                <w:lang w:val="es-ES"/>
              </w:rPr>
              <w:t>GSI por encima de 50</w:t>
            </w:r>
          </w:p>
        </w:tc>
        <w:tc>
          <w:tcPr>
            <w:tcW w:w="1694" w:type="dxa"/>
          </w:tcPr>
          <w:p w:rsidR="00182C32" w:rsidRPr="00AF4A52" w:rsidRDefault="00182C32" w:rsidP="007F4C03">
            <w:pPr>
              <w:pStyle w:val="Default"/>
              <w:jc w:val="center"/>
              <w:rPr>
                <w:sz w:val="22"/>
                <w:szCs w:val="22"/>
              </w:rPr>
            </w:pPr>
            <w:proofErr w:type="spellStart"/>
            <w:r w:rsidRPr="00182C32">
              <w:rPr>
                <w:sz w:val="22"/>
                <w:szCs w:val="22"/>
              </w:rPr>
              <w:t>Valor</w:t>
            </w:r>
            <w:proofErr w:type="spellEnd"/>
            <w:r w:rsidRPr="00182C32">
              <w:rPr>
                <w:sz w:val="22"/>
                <w:szCs w:val="22"/>
              </w:rPr>
              <w:t xml:space="preserve"> </w:t>
            </w:r>
            <w:proofErr w:type="spellStart"/>
            <w:r w:rsidRPr="00182C32">
              <w:rPr>
                <w:sz w:val="22"/>
                <w:szCs w:val="22"/>
              </w:rPr>
              <w:t>máximo</w:t>
            </w:r>
            <w:proofErr w:type="spellEnd"/>
            <w:r w:rsidRPr="00182C32">
              <w:rPr>
                <w:sz w:val="22"/>
                <w:szCs w:val="22"/>
              </w:rPr>
              <w:t xml:space="preserve"> </w:t>
            </w:r>
            <w:proofErr w:type="spellStart"/>
            <w:r w:rsidRPr="00182C32">
              <w:rPr>
                <w:sz w:val="22"/>
                <w:szCs w:val="22"/>
              </w:rPr>
              <w:t>de</w:t>
            </w:r>
            <w:proofErr w:type="spellEnd"/>
            <w:r w:rsidRPr="00182C32">
              <w:rPr>
                <w:sz w:val="22"/>
                <w:szCs w:val="22"/>
              </w:rPr>
              <w:t xml:space="preserve"> GSI</w:t>
            </w:r>
          </w:p>
        </w:tc>
        <w:tc>
          <w:tcPr>
            <w:tcW w:w="1558" w:type="dxa"/>
          </w:tcPr>
          <w:p w:rsidR="00182C32" w:rsidRDefault="00182C32" w:rsidP="00182C32">
            <w:pPr>
              <w:pStyle w:val="Default"/>
              <w:jc w:val="center"/>
              <w:rPr>
                <w:sz w:val="22"/>
                <w:szCs w:val="22"/>
                <w:lang w:val="es-ES"/>
              </w:rPr>
            </w:pPr>
            <w:r>
              <w:rPr>
                <w:sz w:val="22"/>
                <w:szCs w:val="22"/>
                <w:lang w:val="es-ES"/>
              </w:rPr>
              <w:t>Fecha</w:t>
            </w:r>
          </w:p>
          <w:p w:rsidR="00182C32" w:rsidRPr="00182C32" w:rsidRDefault="00182C32" w:rsidP="00182C32">
            <w:pPr>
              <w:pStyle w:val="Default"/>
              <w:jc w:val="center"/>
              <w:rPr>
                <w:sz w:val="22"/>
                <w:szCs w:val="22"/>
                <w:lang w:val="es-ES"/>
              </w:rPr>
            </w:pPr>
            <w:r w:rsidRPr="00AF4A52">
              <w:rPr>
                <w:sz w:val="22"/>
                <w:szCs w:val="22"/>
              </w:rPr>
              <w:t>ESI</w:t>
            </w:r>
            <w:r>
              <w:rPr>
                <w:sz w:val="22"/>
                <w:szCs w:val="22"/>
                <w:lang w:val="es-ES"/>
              </w:rPr>
              <w:t xml:space="preserve"> superó la marca 50</w:t>
            </w:r>
          </w:p>
        </w:tc>
        <w:tc>
          <w:tcPr>
            <w:tcW w:w="1694" w:type="dxa"/>
          </w:tcPr>
          <w:p w:rsidR="00182C32" w:rsidRPr="00AF4A52" w:rsidRDefault="00182C32" w:rsidP="007F4C03">
            <w:pPr>
              <w:pStyle w:val="Default"/>
              <w:jc w:val="center"/>
              <w:rPr>
                <w:sz w:val="22"/>
                <w:szCs w:val="22"/>
              </w:rPr>
            </w:pPr>
            <w:proofErr w:type="spellStart"/>
            <w:r w:rsidRPr="00182C32">
              <w:rPr>
                <w:sz w:val="22"/>
                <w:szCs w:val="22"/>
              </w:rPr>
              <w:t>Valor</w:t>
            </w:r>
            <w:proofErr w:type="spellEnd"/>
            <w:r w:rsidRPr="00182C32">
              <w:rPr>
                <w:sz w:val="22"/>
                <w:szCs w:val="22"/>
              </w:rPr>
              <w:t xml:space="preserve"> </w:t>
            </w:r>
            <w:proofErr w:type="spellStart"/>
            <w:r w:rsidRPr="00182C32">
              <w:rPr>
                <w:sz w:val="22"/>
                <w:szCs w:val="22"/>
              </w:rPr>
              <w:t>máximo</w:t>
            </w:r>
            <w:proofErr w:type="spellEnd"/>
            <w:r w:rsidRPr="00182C32">
              <w:rPr>
                <w:sz w:val="22"/>
                <w:szCs w:val="22"/>
              </w:rPr>
              <w:t xml:space="preserve"> </w:t>
            </w:r>
            <w:proofErr w:type="spellStart"/>
            <w:r w:rsidRPr="00182C32">
              <w:rPr>
                <w:sz w:val="22"/>
                <w:szCs w:val="22"/>
              </w:rPr>
              <w:t>de</w:t>
            </w:r>
            <w:proofErr w:type="spellEnd"/>
            <w:r w:rsidRPr="00182C32">
              <w:rPr>
                <w:sz w:val="22"/>
                <w:szCs w:val="22"/>
              </w:rPr>
              <w:t xml:space="preserve"> </w:t>
            </w:r>
            <w:r w:rsidRPr="00AF4A52">
              <w:rPr>
                <w:sz w:val="22"/>
                <w:szCs w:val="22"/>
              </w:rPr>
              <w:t>ESI</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China</w:t>
            </w:r>
          </w:p>
        </w:tc>
        <w:tc>
          <w:tcPr>
            <w:tcW w:w="1384" w:type="dxa"/>
          </w:tcPr>
          <w:p w:rsidR="00182C32" w:rsidRPr="00AF4A52" w:rsidRDefault="00182C32" w:rsidP="00182C32">
            <w:pPr>
              <w:pStyle w:val="Default"/>
              <w:jc w:val="center"/>
              <w:rPr>
                <w:sz w:val="22"/>
                <w:szCs w:val="22"/>
              </w:rPr>
            </w:pPr>
            <w:r w:rsidRPr="00AF4A52">
              <w:rPr>
                <w:sz w:val="22"/>
                <w:szCs w:val="22"/>
              </w:rPr>
              <w:t>26</w:t>
            </w:r>
            <w:r>
              <w:rPr>
                <w:sz w:val="22"/>
                <w:szCs w:val="22"/>
              </w:rPr>
              <w:t>/01</w:t>
            </w:r>
          </w:p>
        </w:tc>
        <w:tc>
          <w:tcPr>
            <w:tcW w:w="1823" w:type="dxa"/>
          </w:tcPr>
          <w:p w:rsidR="00182C32" w:rsidRPr="00AF4A52" w:rsidRDefault="00182C32" w:rsidP="007F4C03">
            <w:pPr>
              <w:pStyle w:val="Default"/>
              <w:jc w:val="center"/>
              <w:rPr>
                <w:sz w:val="22"/>
                <w:szCs w:val="22"/>
              </w:rPr>
            </w:pPr>
            <w:proofErr w:type="spellStart"/>
            <w:r w:rsidRPr="00182C32">
              <w:rPr>
                <w:sz w:val="22"/>
                <w:szCs w:val="22"/>
              </w:rPr>
              <w:t>no</w:t>
            </w:r>
            <w:proofErr w:type="spellEnd"/>
            <w:r w:rsidRPr="00182C32">
              <w:rPr>
                <w:sz w:val="22"/>
                <w:szCs w:val="22"/>
              </w:rPr>
              <w:t xml:space="preserve"> </w:t>
            </w:r>
            <w:proofErr w:type="spellStart"/>
            <w:r w:rsidRPr="00182C32">
              <w:rPr>
                <w:sz w:val="22"/>
                <w:szCs w:val="22"/>
              </w:rPr>
              <w:t>menos</w:t>
            </w:r>
            <w:proofErr w:type="spellEnd"/>
            <w:r w:rsidRPr="00182C32">
              <w:rPr>
                <w:sz w:val="22"/>
                <w:szCs w:val="22"/>
              </w:rPr>
              <w:t xml:space="preserve"> </w:t>
            </w:r>
            <w:proofErr w:type="spellStart"/>
            <w:r w:rsidRPr="00182C32">
              <w:rPr>
                <w:sz w:val="22"/>
                <w:szCs w:val="22"/>
              </w:rPr>
              <w:t>de</w:t>
            </w:r>
            <w:proofErr w:type="spellEnd"/>
            <w:r w:rsidRPr="00182C32">
              <w:rPr>
                <w:sz w:val="22"/>
                <w:szCs w:val="22"/>
              </w:rPr>
              <w:t xml:space="preserve"> 137</w:t>
            </w:r>
          </w:p>
        </w:tc>
        <w:tc>
          <w:tcPr>
            <w:tcW w:w="1694" w:type="dxa"/>
          </w:tcPr>
          <w:p w:rsidR="00182C32" w:rsidRPr="00AF4A52" w:rsidRDefault="00182C32" w:rsidP="007F4C03">
            <w:pPr>
              <w:pStyle w:val="Default"/>
              <w:jc w:val="center"/>
              <w:rPr>
                <w:sz w:val="22"/>
                <w:szCs w:val="22"/>
              </w:rPr>
            </w:pPr>
            <w:r w:rsidRPr="00AF4A52">
              <w:rPr>
                <w:sz w:val="22"/>
                <w:szCs w:val="22"/>
              </w:rPr>
              <w:t>82</w:t>
            </w:r>
          </w:p>
        </w:tc>
        <w:tc>
          <w:tcPr>
            <w:tcW w:w="1558" w:type="dxa"/>
          </w:tcPr>
          <w:p w:rsidR="00182C32" w:rsidRPr="00AF4A52" w:rsidRDefault="00182C32" w:rsidP="007F4C03">
            <w:pPr>
              <w:pStyle w:val="Default"/>
              <w:jc w:val="center"/>
              <w:rPr>
                <w:sz w:val="22"/>
                <w:szCs w:val="22"/>
              </w:rPr>
            </w:pPr>
            <w:r w:rsidRPr="00AF4A52">
              <w:rPr>
                <w:sz w:val="22"/>
                <w:szCs w:val="22"/>
              </w:rPr>
              <w:t>-</w:t>
            </w:r>
          </w:p>
        </w:tc>
        <w:tc>
          <w:tcPr>
            <w:tcW w:w="1694" w:type="dxa"/>
          </w:tcPr>
          <w:p w:rsidR="00182C32" w:rsidRPr="00AF4A52" w:rsidRDefault="00182C32" w:rsidP="007F4C03">
            <w:pPr>
              <w:jc w:val="center"/>
              <w:rPr>
                <w:rFonts w:cs="Times New Roman"/>
              </w:rPr>
            </w:pPr>
            <w:r w:rsidRPr="00AF4A52">
              <w:rPr>
                <w:rFonts w:cs="Times New Roman"/>
              </w:rPr>
              <w:t>13</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Francia</w:t>
            </w:r>
          </w:p>
        </w:tc>
        <w:tc>
          <w:tcPr>
            <w:tcW w:w="1384" w:type="dxa"/>
          </w:tcPr>
          <w:p w:rsidR="00182C32" w:rsidRPr="00AF4A52" w:rsidRDefault="00182C32" w:rsidP="00182C32">
            <w:pPr>
              <w:pStyle w:val="Default"/>
              <w:jc w:val="center"/>
              <w:rPr>
                <w:sz w:val="22"/>
                <w:szCs w:val="22"/>
              </w:rPr>
            </w:pPr>
            <w:r w:rsidRPr="00AF4A52">
              <w:rPr>
                <w:sz w:val="22"/>
                <w:szCs w:val="22"/>
              </w:rPr>
              <w:t>16</w:t>
            </w:r>
            <w:r>
              <w:rPr>
                <w:sz w:val="22"/>
                <w:szCs w:val="22"/>
              </w:rPr>
              <w:t>/03</w:t>
            </w:r>
          </w:p>
        </w:tc>
        <w:tc>
          <w:tcPr>
            <w:tcW w:w="1823" w:type="dxa"/>
          </w:tcPr>
          <w:p w:rsidR="00182C32" w:rsidRPr="00AF4A52" w:rsidRDefault="00182C32" w:rsidP="007F4C03">
            <w:pPr>
              <w:pStyle w:val="Default"/>
              <w:jc w:val="center"/>
              <w:rPr>
                <w:sz w:val="22"/>
                <w:szCs w:val="22"/>
              </w:rPr>
            </w:pPr>
            <w:proofErr w:type="spellStart"/>
            <w:r w:rsidRPr="00182C32">
              <w:rPr>
                <w:sz w:val="22"/>
                <w:szCs w:val="22"/>
              </w:rPr>
              <w:t>no</w:t>
            </w:r>
            <w:proofErr w:type="spellEnd"/>
            <w:r w:rsidRPr="00182C32">
              <w:rPr>
                <w:sz w:val="22"/>
                <w:szCs w:val="22"/>
              </w:rPr>
              <w:t xml:space="preserve"> </w:t>
            </w:r>
            <w:proofErr w:type="spellStart"/>
            <w:r w:rsidRPr="00182C32">
              <w:rPr>
                <w:sz w:val="22"/>
                <w:szCs w:val="22"/>
              </w:rPr>
              <w:t>menos</w:t>
            </w:r>
            <w:proofErr w:type="spellEnd"/>
            <w:r w:rsidRPr="00182C32">
              <w:rPr>
                <w:sz w:val="22"/>
                <w:szCs w:val="22"/>
              </w:rPr>
              <w:t xml:space="preserve"> </w:t>
            </w:r>
            <w:proofErr w:type="spellStart"/>
            <w:r w:rsidRPr="00182C32">
              <w:rPr>
                <w:sz w:val="22"/>
                <w:szCs w:val="22"/>
              </w:rPr>
              <w:t>de</w:t>
            </w:r>
            <w:proofErr w:type="spellEnd"/>
            <w:r w:rsidRPr="00182C32">
              <w:rPr>
                <w:sz w:val="22"/>
                <w:szCs w:val="22"/>
              </w:rPr>
              <w:t xml:space="preserve"> </w:t>
            </w:r>
            <w:r w:rsidRPr="00AF4A52">
              <w:rPr>
                <w:sz w:val="22"/>
                <w:szCs w:val="22"/>
              </w:rPr>
              <w:t>88*</w:t>
            </w:r>
          </w:p>
        </w:tc>
        <w:tc>
          <w:tcPr>
            <w:tcW w:w="1694" w:type="dxa"/>
          </w:tcPr>
          <w:p w:rsidR="00182C32" w:rsidRPr="00AF4A52" w:rsidRDefault="00182C32" w:rsidP="007F4C03">
            <w:pPr>
              <w:pStyle w:val="Default"/>
              <w:jc w:val="center"/>
              <w:rPr>
                <w:sz w:val="22"/>
                <w:szCs w:val="22"/>
              </w:rPr>
            </w:pPr>
            <w:r w:rsidRPr="00AF4A52">
              <w:rPr>
                <w:sz w:val="22"/>
                <w:szCs w:val="22"/>
              </w:rPr>
              <w:t>91</w:t>
            </w:r>
          </w:p>
        </w:tc>
        <w:tc>
          <w:tcPr>
            <w:tcW w:w="1558" w:type="dxa"/>
          </w:tcPr>
          <w:p w:rsidR="00182C32" w:rsidRPr="00AF4A52" w:rsidRDefault="00182C32" w:rsidP="00182C32">
            <w:pPr>
              <w:pStyle w:val="Default"/>
              <w:jc w:val="center"/>
              <w:rPr>
                <w:sz w:val="22"/>
                <w:szCs w:val="22"/>
              </w:rPr>
            </w:pPr>
            <w:r w:rsidRPr="00AF4A52">
              <w:rPr>
                <w:sz w:val="22"/>
                <w:szCs w:val="22"/>
              </w:rPr>
              <w:t>16</w:t>
            </w:r>
            <w:r>
              <w:rPr>
                <w:sz w:val="22"/>
                <w:szCs w:val="22"/>
              </w:rPr>
              <w:t>/03</w:t>
            </w:r>
          </w:p>
        </w:tc>
        <w:tc>
          <w:tcPr>
            <w:tcW w:w="1694" w:type="dxa"/>
          </w:tcPr>
          <w:p w:rsidR="00182C32" w:rsidRPr="00AF4A52" w:rsidRDefault="00182C32" w:rsidP="007F4C03">
            <w:pPr>
              <w:pStyle w:val="Default"/>
              <w:jc w:val="center"/>
              <w:rPr>
                <w:sz w:val="22"/>
                <w:szCs w:val="22"/>
              </w:rPr>
            </w:pPr>
            <w:r w:rsidRPr="00AF4A52">
              <w:rPr>
                <w:sz w:val="22"/>
                <w:szCs w:val="22"/>
              </w:rPr>
              <w:t>100</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Alemania</w:t>
            </w:r>
          </w:p>
        </w:tc>
        <w:tc>
          <w:tcPr>
            <w:tcW w:w="1384" w:type="dxa"/>
          </w:tcPr>
          <w:p w:rsidR="00182C32" w:rsidRPr="00AF4A52" w:rsidRDefault="00182C32" w:rsidP="00182C32">
            <w:pPr>
              <w:pStyle w:val="Default"/>
              <w:jc w:val="center"/>
              <w:rPr>
                <w:sz w:val="22"/>
                <w:szCs w:val="22"/>
              </w:rPr>
            </w:pPr>
            <w:r w:rsidRPr="00AF4A52">
              <w:rPr>
                <w:sz w:val="22"/>
                <w:szCs w:val="22"/>
              </w:rPr>
              <w:t>18</w:t>
            </w:r>
            <w:r>
              <w:rPr>
                <w:sz w:val="22"/>
                <w:szCs w:val="22"/>
              </w:rPr>
              <w:t>/03</w:t>
            </w:r>
          </w:p>
        </w:tc>
        <w:tc>
          <w:tcPr>
            <w:tcW w:w="1823" w:type="dxa"/>
          </w:tcPr>
          <w:p w:rsidR="00182C32" w:rsidRPr="00AF4A52" w:rsidRDefault="00182C32" w:rsidP="007F4C03">
            <w:pPr>
              <w:pStyle w:val="Default"/>
              <w:jc w:val="center"/>
              <w:rPr>
                <w:sz w:val="22"/>
                <w:szCs w:val="22"/>
              </w:rPr>
            </w:pPr>
            <w:r w:rsidRPr="00AF4A52">
              <w:rPr>
                <w:sz w:val="22"/>
                <w:szCs w:val="22"/>
              </w:rPr>
              <w:t>68</w:t>
            </w:r>
          </w:p>
        </w:tc>
        <w:tc>
          <w:tcPr>
            <w:tcW w:w="1694" w:type="dxa"/>
          </w:tcPr>
          <w:p w:rsidR="00182C32" w:rsidRPr="00AF4A52" w:rsidRDefault="00182C32" w:rsidP="007F4C03">
            <w:pPr>
              <w:pStyle w:val="Default"/>
              <w:jc w:val="center"/>
              <w:rPr>
                <w:sz w:val="22"/>
                <w:szCs w:val="22"/>
              </w:rPr>
            </w:pPr>
            <w:r w:rsidRPr="00AF4A52">
              <w:rPr>
                <w:sz w:val="22"/>
                <w:szCs w:val="22"/>
              </w:rPr>
              <w:t>73</w:t>
            </w:r>
          </w:p>
        </w:tc>
        <w:tc>
          <w:tcPr>
            <w:tcW w:w="1558" w:type="dxa"/>
          </w:tcPr>
          <w:p w:rsidR="00182C32" w:rsidRPr="00AF4A52" w:rsidRDefault="00182C32" w:rsidP="00182C32">
            <w:pPr>
              <w:pStyle w:val="Default"/>
              <w:jc w:val="center"/>
              <w:rPr>
                <w:sz w:val="22"/>
                <w:szCs w:val="22"/>
              </w:rPr>
            </w:pPr>
            <w:r w:rsidRPr="00AF4A52">
              <w:rPr>
                <w:sz w:val="22"/>
                <w:szCs w:val="22"/>
              </w:rPr>
              <w:t>23</w:t>
            </w:r>
            <w:r>
              <w:rPr>
                <w:sz w:val="22"/>
                <w:szCs w:val="22"/>
              </w:rPr>
              <w:t>/03</w:t>
            </w:r>
          </w:p>
        </w:tc>
        <w:tc>
          <w:tcPr>
            <w:tcW w:w="1694" w:type="dxa"/>
          </w:tcPr>
          <w:p w:rsidR="00182C32" w:rsidRPr="00AF4A52" w:rsidRDefault="00182C32" w:rsidP="007F4C03">
            <w:pPr>
              <w:pStyle w:val="Default"/>
              <w:jc w:val="center"/>
              <w:rPr>
                <w:sz w:val="22"/>
                <w:szCs w:val="22"/>
              </w:rPr>
            </w:pPr>
            <w:r w:rsidRPr="00AF4A52">
              <w:rPr>
                <w:sz w:val="22"/>
                <w:szCs w:val="22"/>
              </w:rPr>
              <w:t>88</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Italia</w:t>
            </w:r>
          </w:p>
        </w:tc>
        <w:tc>
          <w:tcPr>
            <w:tcW w:w="1384" w:type="dxa"/>
          </w:tcPr>
          <w:p w:rsidR="00182C32" w:rsidRPr="00AF4A52" w:rsidRDefault="00182C32" w:rsidP="00182C32">
            <w:pPr>
              <w:pStyle w:val="Default"/>
              <w:jc w:val="center"/>
              <w:rPr>
                <w:sz w:val="22"/>
                <w:szCs w:val="22"/>
              </w:rPr>
            </w:pPr>
            <w:r w:rsidRPr="00AF4A52">
              <w:rPr>
                <w:sz w:val="22"/>
                <w:szCs w:val="22"/>
              </w:rPr>
              <w:t>23</w:t>
            </w:r>
            <w:r>
              <w:rPr>
                <w:sz w:val="22"/>
                <w:szCs w:val="22"/>
              </w:rPr>
              <w:t>/02</w:t>
            </w:r>
          </w:p>
        </w:tc>
        <w:tc>
          <w:tcPr>
            <w:tcW w:w="1823" w:type="dxa"/>
          </w:tcPr>
          <w:p w:rsidR="00182C32" w:rsidRPr="00AF4A52" w:rsidRDefault="00182C32" w:rsidP="007F4C03">
            <w:pPr>
              <w:pStyle w:val="Default"/>
              <w:jc w:val="center"/>
              <w:rPr>
                <w:sz w:val="22"/>
                <w:szCs w:val="22"/>
              </w:rPr>
            </w:pPr>
            <w:r w:rsidRPr="00AF4A52">
              <w:rPr>
                <w:sz w:val="22"/>
                <w:szCs w:val="22"/>
              </w:rPr>
              <w:t>101</w:t>
            </w:r>
          </w:p>
        </w:tc>
        <w:tc>
          <w:tcPr>
            <w:tcW w:w="1694" w:type="dxa"/>
          </w:tcPr>
          <w:p w:rsidR="00182C32" w:rsidRPr="00AF4A52" w:rsidRDefault="00182C32" w:rsidP="007F4C03">
            <w:pPr>
              <w:pStyle w:val="Default"/>
              <w:jc w:val="center"/>
              <w:rPr>
                <w:sz w:val="22"/>
                <w:szCs w:val="22"/>
              </w:rPr>
            </w:pPr>
            <w:r w:rsidRPr="00AF4A52">
              <w:rPr>
                <w:sz w:val="22"/>
                <w:szCs w:val="22"/>
              </w:rPr>
              <w:t>94</w:t>
            </w:r>
          </w:p>
        </w:tc>
        <w:tc>
          <w:tcPr>
            <w:tcW w:w="1558" w:type="dxa"/>
          </w:tcPr>
          <w:p w:rsidR="00182C32" w:rsidRPr="00AF4A52" w:rsidRDefault="00182C32" w:rsidP="00182C32">
            <w:pPr>
              <w:pStyle w:val="Default"/>
              <w:jc w:val="center"/>
              <w:rPr>
                <w:sz w:val="22"/>
                <w:szCs w:val="22"/>
              </w:rPr>
            </w:pPr>
            <w:r w:rsidRPr="00AF4A52">
              <w:rPr>
                <w:sz w:val="22"/>
                <w:szCs w:val="22"/>
              </w:rPr>
              <w:t>27</w:t>
            </w:r>
            <w:r>
              <w:rPr>
                <w:sz w:val="22"/>
                <w:szCs w:val="22"/>
              </w:rPr>
              <w:t>/03</w:t>
            </w:r>
          </w:p>
        </w:tc>
        <w:tc>
          <w:tcPr>
            <w:tcW w:w="1694" w:type="dxa"/>
          </w:tcPr>
          <w:p w:rsidR="00182C32" w:rsidRPr="00AF4A52" w:rsidRDefault="00182C32" w:rsidP="007F4C03">
            <w:pPr>
              <w:pStyle w:val="Default"/>
              <w:jc w:val="center"/>
              <w:rPr>
                <w:sz w:val="22"/>
                <w:szCs w:val="22"/>
              </w:rPr>
            </w:pPr>
            <w:r w:rsidRPr="00AF4A52">
              <w:rPr>
                <w:sz w:val="22"/>
                <w:szCs w:val="22"/>
              </w:rPr>
              <w:t>75</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EEUU</w:t>
            </w:r>
          </w:p>
        </w:tc>
        <w:tc>
          <w:tcPr>
            <w:tcW w:w="1384" w:type="dxa"/>
          </w:tcPr>
          <w:p w:rsidR="00182C32" w:rsidRPr="00AF4A52" w:rsidRDefault="00182C32" w:rsidP="00182C32">
            <w:pPr>
              <w:pStyle w:val="Default"/>
              <w:jc w:val="center"/>
              <w:rPr>
                <w:sz w:val="22"/>
                <w:szCs w:val="22"/>
              </w:rPr>
            </w:pPr>
            <w:r w:rsidRPr="00AF4A52">
              <w:rPr>
                <w:sz w:val="22"/>
                <w:szCs w:val="22"/>
              </w:rPr>
              <w:t>16</w:t>
            </w:r>
            <w:r>
              <w:rPr>
                <w:sz w:val="22"/>
                <w:szCs w:val="22"/>
              </w:rPr>
              <w:t>/03</w:t>
            </w:r>
          </w:p>
        </w:tc>
        <w:tc>
          <w:tcPr>
            <w:tcW w:w="1823" w:type="dxa"/>
          </w:tcPr>
          <w:p w:rsidR="00182C32" w:rsidRPr="00AF4A52" w:rsidRDefault="00182C32" w:rsidP="007F4C03">
            <w:pPr>
              <w:pStyle w:val="Default"/>
              <w:jc w:val="center"/>
              <w:rPr>
                <w:sz w:val="22"/>
                <w:szCs w:val="22"/>
              </w:rPr>
            </w:pPr>
            <w:proofErr w:type="spellStart"/>
            <w:r w:rsidRPr="00182C32">
              <w:rPr>
                <w:sz w:val="22"/>
                <w:szCs w:val="22"/>
              </w:rPr>
              <w:t>no</w:t>
            </w:r>
            <w:proofErr w:type="spellEnd"/>
            <w:r w:rsidRPr="00182C32">
              <w:rPr>
                <w:sz w:val="22"/>
                <w:szCs w:val="22"/>
              </w:rPr>
              <w:t xml:space="preserve"> </w:t>
            </w:r>
            <w:proofErr w:type="spellStart"/>
            <w:r w:rsidRPr="00182C32">
              <w:rPr>
                <w:sz w:val="22"/>
                <w:szCs w:val="22"/>
              </w:rPr>
              <w:t>menos</w:t>
            </w:r>
            <w:proofErr w:type="spellEnd"/>
            <w:r w:rsidRPr="00182C32">
              <w:rPr>
                <w:sz w:val="22"/>
                <w:szCs w:val="22"/>
              </w:rPr>
              <w:t xml:space="preserve"> </w:t>
            </w:r>
            <w:proofErr w:type="spellStart"/>
            <w:r w:rsidRPr="00182C32">
              <w:rPr>
                <w:sz w:val="22"/>
                <w:szCs w:val="22"/>
              </w:rPr>
              <w:t>de</w:t>
            </w:r>
            <w:proofErr w:type="spellEnd"/>
            <w:r w:rsidRPr="00182C32">
              <w:rPr>
                <w:sz w:val="22"/>
                <w:szCs w:val="22"/>
              </w:rPr>
              <w:t xml:space="preserve"> </w:t>
            </w:r>
            <w:r w:rsidRPr="00AF4A52">
              <w:rPr>
                <w:sz w:val="22"/>
                <w:szCs w:val="22"/>
              </w:rPr>
              <w:t>80</w:t>
            </w:r>
          </w:p>
        </w:tc>
        <w:tc>
          <w:tcPr>
            <w:tcW w:w="1694" w:type="dxa"/>
          </w:tcPr>
          <w:p w:rsidR="00182C32" w:rsidRPr="00AF4A52" w:rsidRDefault="00182C32" w:rsidP="007F4C03">
            <w:pPr>
              <w:pStyle w:val="Default"/>
              <w:jc w:val="center"/>
              <w:rPr>
                <w:sz w:val="22"/>
                <w:szCs w:val="22"/>
              </w:rPr>
            </w:pPr>
            <w:r w:rsidRPr="00AF4A52">
              <w:rPr>
                <w:sz w:val="22"/>
                <w:szCs w:val="22"/>
              </w:rPr>
              <w:t>73</w:t>
            </w:r>
          </w:p>
        </w:tc>
        <w:tc>
          <w:tcPr>
            <w:tcW w:w="1558" w:type="dxa"/>
          </w:tcPr>
          <w:p w:rsidR="00182C32" w:rsidRPr="00AF4A52" w:rsidRDefault="00182C32" w:rsidP="00182C32">
            <w:pPr>
              <w:pStyle w:val="Default"/>
              <w:jc w:val="center"/>
              <w:rPr>
                <w:sz w:val="22"/>
                <w:szCs w:val="22"/>
              </w:rPr>
            </w:pPr>
            <w:r w:rsidRPr="00AF4A52">
              <w:rPr>
                <w:sz w:val="22"/>
                <w:szCs w:val="22"/>
              </w:rPr>
              <w:t>27</w:t>
            </w:r>
            <w:r>
              <w:rPr>
                <w:sz w:val="22"/>
                <w:szCs w:val="22"/>
              </w:rPr>
              <w:t>/03</w:t>
            </w:r>
          </w:p>
        </w:tc>
        <w:tc>
          <w:tcPr>
            <w:tcW w:w="1694" w:type="dxa"/>
          </w:tcPr>
          <w:p w:rsidR="00182C32" w:rsidRPr="00AF4A52" w:rsidRDefault="00182C32" w:rsidP="007F4C03">
            <w:pPr>
              <w:pStyle w:val="Default"/>
              <w:jc w:val="center"/>
              <w:rPr>
                <w:sz w:val="22"/>
                <w:szCs w:val="22"/>
              </w:rPr>
            </w:pPr>
            <w:r w:rsidRPr="00AF4A52">
              <w:rPr>
                <w:sz w:val="22"/>
                <w:szCs w:val="22"/>
              </w:rPr>
              <w:t>63</w:t>
            </w:r>
          </w:p>
        </w:tc>
      </w:tr>
      <w:tr w:rsidR="00182C32" w:rsidRPr="00AF4A52" w:rsidTr="00182C32">
        <w:trPr>
          <w:jc w:val="center"/>
        </w:trPr>
        <w:tc>
          <w:tcPr>
            <w:tcW w:w="1418" w:type="dxa"/>
          </w:tcPr>
          <w:p w:rsidR="00182C32" w:rsidRPr="009619CA" w:rsidRDefault="00182C32" w:rsidP="007F4C03">
            <w:pPr>
              <w:pStyle w:val="Default"/>
              <w:jc w:val="center"/>
              <w:rPr>
                <w:sz w:val="22"/>
                <w:szCs w:val="22"/>
                <w:lang w:val="es-ES"/>
              </w:rPr>
            </w:pPr>
            <w:r>
              <w:rPr>
                <w:sz w:val="22"/>
                <w:szCs w:val="22"/>
                <w:lang w:val="es-ES"/>
              </w:rPr>
              <w:t>República Checa</w:t>
            </w:r>
          </w:p>
        </w:tc>
        <w:tc>
          <w:tcPr>
            <w:tcW w:w="1384" w:type="dxa"/>
          </w:tcPr>
          <w:p w:rsidR="00182C32" w:rsidRPr="00AF4A52" w:rsidRDefault="00182C32" w:rsidP="00182C32">
            <w:pPr>
              <w:pStyle w:val="Default"/>
              <w:jc w:val="center"/>
              <w:rPr>
                <w:sz w:val="22"/>
                <w:szCs w:val="22"/>
              </w:rPr>
            </w:pPr>
            <w:r w:rsidRPr="00AF4A52">
              <w:rPr>
                <w:sz w:val="22"/>
                <w:szCs w:val="22"/>
              </w:rPr>
              <w:t>13</w:t>
            </w:r>
            <w:r>
              <w:rPr>
                <w:sz w:val="22"/>
                <w:szCs w:val="22"/>
              </w:rPr>
              <w:t>/03</w:t>
            </w:r>
          </w:p>
        </w:tc>
        <w:tc>
          <w:tcPr>
            <w:tcW w:w="1823" w:type="dxa"/>
          </w:tcPr>
          <w:p w:rsidR="00182C32" w:rsidRPr="00AF4A52" w:rsidRDefault="00182C32" w:rsidP="007F4C03">
            <w:pPr>
              <w:pStyle w:val="Default"/>
              <w:jc w:val="center"/>
              <w:rPr>
                <w:sz w:val="22"/>
                <w:szCs w:val="22"/>
              </w:rPr>
            </w:pPr>
            <w:r w:rsidRPr="00AF4A52">
              <w:rPr>
                <w:sz w:val="22"/>
                <w:szCs w:val="22"/>
              </w:rPr>
              <w:t>73</w:t>
            </w:r>
          </w:p>
        </w:tc>
        <w:tc>
          <w:tcPr>
            <w:tcW w:w="1694" w:type="dxa"/>
          </w:tcPr>
          <w:p w:rsidR="00182C32" w:rsidRPr="00AF4A52" w:rsidRDefault="00182C32" w:rsidP="007F4C03">
            <w:pPr>
              <w:pStyle w:val="Default"/>
              <w:jc w:val="center"/>
              <w:rPr>
                <w:sz w:val="22"/>
                <w:szCs w:val="22"/>
              </w:rPr>
            </w:pPr>
            <w:r w:rsidRPr="00AF4A52">
              <w:rPr>
                <w:sz w:val="22"/>
                <w:szCs w:val="22"/>
              </w:rPr>
              <w:t>82</w:t>
            </w:r>
          </w:p>
        </w:tc>
        <w:tc>
          <w:tcPr>
            <w:tcW w:w="1558" w:type="dxa"/>
          </w:tcPr>
          <w:p w:rsidR="00182C32" w:rsidRPr="00AF4A52" w:rsidRDefault="00182C32" w:rsidP="00182C32">
            <w:pPr>
              <w:pStyle w:val="Default"/>
              <w:jc w:val="center"/>
              <w:rPr>
                <w:sz w:val="22"/>
                <w:szCs w:val="22"/>
              </w:rPr>
            </w:pPr>
            <w:r w:rsidRPr="00AF4A52">
              <w:rPr>
                <w:sz w:val="22"/>
                <w:szCs w:val="22"/>
              </w:rPr>
              <w:t>26</w:t>
            </w:r>
            <w:r>
              <w:rPr>
                <w:sz w:val="22"/>
                <w:szCs w:val="22"/>
              </w:rPr>
              <w:t>/03</w:t>
            </w:r>
          </w:p>
        </w:tc>
        <w:tc>
          <w:tcPr>
            <w:tcW w:w="1694" w:type="dxa"/>
          </w:tcPr>
          <w:p w:rsidR="00182C32" w:rsidRPr="00AF4A52" w:rsidRDefault="00182C32" w:rsidP="007F4C03">
            <w:pPr>
              <w:pStyle w:val="Default"/>
              <w:jc w:val="center"/>
              <w:rPr>
                <w:sz w:val="22"/>
                <w:szCs w:val="22"/>
              </w:rPr>
            </w:pPr>
            <w:r w:rsidRPr="00AF4A52">
              <w:rPr>
                <w:sz w:val="22"/>
                <w:szCs w:val="22"/>
              </w:rPr>
              <w:t>100</w:t>
            </w:r>
          </w:p>
        </w:tc>
      </w:tr>
    </w:tbl>
    <w:p w:rsidR="00D7166A" w:rsidRDefault="00D7166A" w:rsidP="00E6236E">
      <w:pPr>
        <w:pStyle w:val="a7"/>
        <w:shd w:val="clear" w:color="auto" w:fill="FFFFFF"/>
        <w:tabs>
          <w:tab w:val="left" w:pos="0"/>
          <w:tab w:val="left" w:pos="284"/>
        </w:tabs>
        <w:spacing w:after="0" w:line="360" w:lineRule="auto"/>
        <w:ind w:left="0"/>
        <w:rPr>
          <w:rFonts w:cs="Times New Roman"/>
          <w:sz w:val="24"/>
          <w:szCs w:val="24"/>
        </w:rPr>
      </w:pPr>
    </w:p>
    <w:p w:rsidR="00D7166A" w:rsidRPr="005A4A12" w:rsidRDefault="005A4A12" w:rsidP="003E5C1F">
      <w:pPr>
        <w:pStyle w:val="a7"/>
        <w:numPr>
          <w:ilvl w:val="1"/>
          <w:numId w:val="38"/>
        </w:numPr>
        <w:shd w:val="clear" w:color="auto" w:fill="FFFFFF"/>
        <w:tabs>
          <w:tab w:val="left" w:pos="0"/>
          <w:tab w:val="left" w:pos="284"/>
        </w:tabs>
        <w:spacing w:after="0" w:line="360" w:lineRule="auto"/>
        <w:ind w:hanging="701"/>
        <w:jc w:val="center"/>
        <w:rPr>
          <w:rFonts w:cs="Times New Roman"/>
          <w:sz w:val="24"/>
          <w:szCs w:val="24"/>
          <w:shd w:val="clear" w:color="auto" w:fill="FFFFFF"/>
          <w:lang w:val="es-ES"/>
        </w:rPr>
      </w:pPr>
      <w:r w:rsidRPr="005A4A12">
        <w:rPr>
          <w:rFonts w:cs="Times New Roman"/>
          <w:sz w:val="24"/>
          <w:szCs w:val="24"/>
          <w:shd w:val="clear" w:color="auto" w:fill="FFFFFF"/>
          <w:lang w:val="es-ES"/>
        </w:rPr>
        <w:t>La influencia de la estructura de la economía en el nivel de su declive en la pandemia</w:t>
      </w:r>
    </w:p>
    <w:p w:rsidR="005A4A12" w:rsidRDefault="005A4A12"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p>
    <w:p w:rsidR="005A4A12" w:rsidRDefault="00CB0683"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CB0683">
        <w:rPr>
          <w:rFonts w:cs="Times New Roman"/>
          <w:sz w:val="24"/>
          <w:szCs w:val="24"/>
          <w:shd w:val="clear" w:color="auto" w:fill="FFFFFF"/>
          <w:lang w:val="es-ES"/>
        </w:rPr>
        <w:t>En esta sección se analizarán datos sobre el nivel de declive económico en varios países, dependiendo de la estructura de la economía.</w:t>
      </w:r>
    </w:p>
    <w:p w:rsidR="00CB0683" w:rsidRDefault="00CB0683"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p>
    <w:p w:rsidR="00CB0683" w:rsidRDefault="000C360F"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0C360F">
        <w:rPr>
          <w:rFonts w:cs="Times New Roman"/>
          <w:sz w:val="24"/>
          <w:szCs w:val="24"/>
          <w:shd w:val="clear" w:color="auto" w:fill="FFFFFF"/>
          <w:lang w:val="es-ES"/>
        </w:rPr>
        <w:t>Una lista de las industrias más afectadas por el autobloqueo son las siguientes: comercio exterior; transporte (aéreo, auto); turismo, hoteles y restaurantes; servicios offline y entretenimiento (peluquería, fitness, deportes, teatro, cine, etc.).</w:t>
      </w:r>
    </w:p>
    <w:p w:rsidR="000C360F" w:rsidRDefault="001B7031"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1B7031">
        <w:rPr>
          <w:rFonts w:cs="Times New Roman"/>
          <w:sz w:val="24"/>
          <w:szCs w:val="24"/>
          <w:shd w:val="clear" w:color="auto" w:fill="FFFFFF"/>
          <w:lang w:val="es-ES"/>
        </w:rPr>
        <w:t xml:space="preserve">El 22 de abril, expertos de la Organización Internacional del Trabajo dijeron que las agencias de viajes europeas pierden cada mes mil millones de euros en ganancias, y el colapso de la industria del turismo podría costarle al mundo el 11,5% del PNB global. Anteriormente, la directora de la </w:t>
      </w:r>
      <w:r w:rsidRPr="001B7031">
        <w:rPr>
          <w:rFonts w:cs="Times New Roman"/>
          <w:sz w:val="24"/>
          <w:szCs w:val="24"/>
          <w:shd w:val="clear" w:color="auto" w:fill="FFFFFF"/>
          <w:lang w:val="es-ES"/>
        </w:rPr>
        <w:lastRenderedPageBreak/>
        <w:t>Asociación de Tour Operadores de Rusia, Maya Lomidze, informó que debido al coronavirus, las compañías de viajes rusas perderían 27 mil millones de rublos.</w:t>
      </w:r>
    </w:p>
    <w:p w:rsidR="001B7031" w:rsidRDefault="001B7031"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1B7031">
        <w:rPr>
          <w:rFonts w:cs="Times New Roman"/>
          <w:sz w:val="24"/>
          <w:szCs w:val="24"/>
          <w:shd w:val="clear" w:color="auto" w:fill="FFFFFF"/>
          <w:lang w:val="es-ES"/>
        </w:rPr>
        <w:t>El sector del transporte ha sufrido tanto, si no más. Según la OIT, dos millones de marineros están empleados solo en la marina mercante mundial, y otras 250.000 personas trabajan en cruceros. Pero para entonces, el volumen de tráfico se había reducido drásticamente y los buques de carga seca, los petroleros y los transatlánticos estaban "inactivos". El negocio del transporte de mercancías por carretera incurrió en enormes pérdidas, la aviación se hundió drásticamente: como sugirió la Asociación de Transporte Aéreo Internacional en abril, debido a las restricciones de movimiento entre países, esta industria podría disminuir en un 44% en comparación con los resultados de 2019. En realidad, sin embargo, disminuyó en al menos un 65-70%, e incluso con la apertura de algunas líneas en julio-agosto, la situación no mejorará drásticamente para fin de año.</w:t>
      </w:r>
    </w:p>
    <w:p w:rsidR="001B7031" w:rsidRDefault="004D3F55"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4D3F55">
        <w:rPr>
          <w:rFonts w:cs="Times New Roman"/>
          <w:sz w:val="24"/>
          <w:szCs w:val="24"/>
          <w:shd w:val="clear" w:color="auto" w:fill="FFFFFF"/>
          <w:lang w:val="es-ES"/>
        </w:rPr>
        <w:t>La industria automotriz no se sintió mejor, donde antes de la pandemia se alimentaban 14 millones de personas, sin contar el personal de empresas aliadas que suministraban componentes para automóviles. Durante los meses de la Gran Cuarentena, la industria ligera también cayó, muy afectada por las restricciones de cuarentena y el cierre de tiendas, especialmente en el sector no alimentario. La demanda cayó, los ingresos cayeron. Aquí a los expertos les gusta citar como ejemplo a uno de los países más pobres del mundo, Bangladesh: allí, los ingresos de los fabricantes cayeron en $ 3 mil millones, más de 2 millones de personas se quedaron sin trabajo y sin eso apenas llegaban a fin de mes.</w:t>
      </w:r>
    </w:p>
    <w:p w:rsidR="004D3F55" w:rsidRDefault="0001277B"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01277B">
        <w:rPr>
          <w:rFonts w:cs="Times New Roman"/>
          <w:sz w:val="24"/>
          <w:szCs w:val="24"/>
          <w:shd w:val="clear" w:color="auto" w:fill="FFFFFF"/>
          <w:lang w:val="es-ES"/>
        </w:rPr>
        <w:t>Pero también hay ganadores: comercio electrónico local, especialmente comestibles y comidas listas para comer; entretenimiento en línea; producción y venta de medicamentos y bienes; medicina, principalmente medicina a distancia; producción y venta de productos. Una parte importante de la industria financiera también puede encontrar aspectos positivos para sí misma en el desarrollo actual de los eventos.</w:t>
      </w:r>
    </w:p>
    <w:p w:rsidR="0001277B" w:rsidRDefault="0001277B"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01277B">
        <w:rPr>
          <w:rFonts w:cs="Times New Roman"/>
          <w:sz w:val="24"/>
          <w:szCs w:val="24"/>
          <w:shd w:val="clear" w:color="auto" w:fill="FFFFFF"/>
          <w:lang w:val="es-ES"/>
        </w:rPr>
        <w:t>Mención especial merece la industria petrolera, que, por alguna monstruosa coincidencia, entró en picada tras las infructuosas negociaciones de los países de la OPEP + y en los mismos días en que se inició la explosiva propagación del COVID-19 en Europa y Estados Unidos.</w:t>
      </w:r>
    </w:p>
    <w:p w:rsidR="0001277B" w:rsidRDefault="00A1282C" w:rsidP="005A4A1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A1282C">
        <w:rPr>
          <w:rFonts w:cs="Times New Roman"/>
          <w:sz w:val="24"/>
          <w:szCs w:val="24"/>
          <w:shd w:val="clear" w:color="auto" w:fill="FFFFFF"/>
          <w:lang w:val="es-ES"/>
        </w:rPr>
        <w:t xml:space="preserve">La caída de la demanda en casi un 20% provocó una grave crisis de sobreproducción, llenando todas las instalaciones de almacenamiento posibles y el flete total de todos los buques tanque disponibles para el almacenamiento de petróleo. Prolongar esta situación durante mucho tiempo puede llevar al cierre forzoso de una gran cantidad de pozos, y no solo en el esquisto. Pero esto también amenaza con congelar las inversiones en nuevos proyectos con la suspensión de los actuales, lo que puede crear problemas mucho mayores que un simple exceso de petróleo. Como </w:t>
      </w:r>
      <w:r w:rsidRPr="00A1282C">
        <w:rPr>
          <w:rFonts w:cs="Times New Roman"/>
          <w:sz w:val="24"/>
          <w:szCs w:val="24"/>
          <w:shd w:val="clear" w:color="auto" w:fill="FFFFFF"/>
          <w:lang w:val="es-ES"/>
        </w:rPr>
        <w:lastRenderedPageBreak/>
        <w:t>resultado, es posible que muchas empresas pequeñas y medianas no sobrevivan a esta crisis, pero las que se queden dividirán con gusto lo que ha quedado.</w:t>
      </w:r>
    </w:p>
    <w:p w:rsidR="00AC7EB9" w:rsidRDefault="00AC7EB9" w:rsidP="005A4A12">
      <w:pPr>
        <w:pStyle w:val="a7"/>
        <w:shd w:val="clear" w:color="auto" w:fill="FFFFFF"/>
        <w:tabs>
          <w:tab w:val="left" w:pos="0"/>
          <w:tab w:val="left" w:pos="284"/>
        </w:tabs>
        <w:spacing w:after="0" w:line="360" w:lineRule="auto"/>
        <w:ind w:left="0"/>
        <w:rPr>
          <w:rFonts w:cs="Times New Roman"/>
          <w:sz w:val="24"/>
          <w:szCs w:val="24"/>
          <w:shd w:val="clear" w:color="auto" w:fill="FFFFFF"/>
        </w:rPr>
      </w:pPr>
    </w:p>
    <w:p w:rsidR="00A1282C" w:rsidRPr="00AC7EB9" w:rsidRDefault="00B33866" w:rsidP="00B33866">
      <w:pPr>
        <w:pStyle w:val="a7"/>
        <w:numPr>
          <w:ilvl w:val="1"/>
          <w:numId w:val="38"/>
        </w:numPr>
        <w:shd w:val="clear" w:color="auto" w:fill="FFFFFF"/>
        <w:tabs>
          <w:tab w:val="left" w:pos="0"/>
          <w:tab w:val="left" w:pos="284"/>
        </w:tabs>
        <w:spacing w:after="0" w:line="360" w:lineRule="auto"/>
        <w:jc w:val="center"/>
        <w:rPr>
          <w:rFonts w:cs="Times New Roman"/>
          <w:sz w:val="24"/>
          <w:szCs w:val="24"/>
          <w:shd w:val="clear" w:color="auto" w:fill="FFFFFF"/>
          <w:lang w:val="es-ES"/>
        </w:rPr>
      </w:pPr>
      <w:r w:rsidRPr="00AC7EB9">
        <w:rPr>
          <w:rFonts w:cs="Times New Roman"/>
          <w:sz w:val="24"/>
          <w:szCs w:val="24"/>
          <w:shd w:val="clear" w:color="auto" w:fill="FFFFFF"/>
          <w:lang w:val="es-ES"/>
        </w:rPr>
        <w:t>Apoyo estatal a la economía</w:t>
      </w:r>
    </w:p>
    <w:p w:rsidR="00B33866" w:rsidRPr="00AC7EB9" w:rsidRDefault="00B33866" w:rsidP="00B33866">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B33866" w:rsidRDefault="001842E7" w:rsidP="00B33866">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1842E7">
        <w:rPr>
          <w:rFonts w:cs="Times New Roman"/>
          <w:sz w:val="24"/>
          <w:szCs w:val="24"/>
          <w:shd w:val="clear" w:color="auto" w:fill="FFFFFF"/>
          <w:lang w:val="es-ES"/>
        </w:rPr>
        <w:t>Esta sección analizará datos sobre la estructura y el nivel de apoyo gubernamental a las economías nacionales.</w:t>
      </w:r>
    </w:p>
    <w:p w:rsidR="001842E7" w:rsidRDefault="001842E7" w:rsidP="00B33866">
      <w:pPr>
        <w:pStyle w:val="a7"/>
        <w:shd w:val="clear" w:color="auto" w:fill="FFFFFF"/>
        <w:tabs>
          <w:tab w:val="left" w:pos="0"/>
          <w:tab w:val="left" w:pos="284"/>
        </w:tabs>
        <w:spacing w:after="0" w:line="360" w:lineRule="auto"/>
        <w:ind w:left="0"/>
        <w:rPr>
          <w:rFonts w:cs="Times New Roman"/>
          <w:sz w:val="24"/>
          <w:szCs w:val="24"/>
          <w:shd w:val="clear" w:color="auto" w:fill="FFFFFF"/>
        </w:rPr>
      </w:pPr>
    </w:p>
    <w:p w:rsidR="00BD7098" w:rsidRPr="00BD7098" w:rsidRDefault="00BD7098" w:rsidP="00BD7098">
      <w:pPr>
        <w:pStyle w:val="a7"/>
        <w:shd w:val="clear" w:color="auto" w:fill="FFFFFF"/>
        <w:tabs>
          <w:tab w:val="left" w:pos="0"/>
          <w:tab w:val="left" w:pos="284"/>
        </w:tabs>
        <w:spacing w:after="0" w:line="360" w:lineRule="auto"/>
        <w:ind w:left="0"/>
        <w:rPr>
          <w:rFonts w:cs="Times New Roman"/>
          <w:sz w:val="24"/>
          <w:szCs w:val="24"/>
          <w:shd w:val="clear" w:color="auto" w:fill="FFFFFF"/>
        </w:rPr>
      </w:pPr>
      <w:proofErr w:type="spellStart"/>
      <w:r>
        <w:rPr>
          <w:rFonts w:cs="Times New Roman"/>
          <w:sz w:val="24"/>
          <w:szCs w:val="24"/>
          <w:shd w:val="clear" w:color="auto" w:fill="FFFFFF"/>
        </w:rPr>
        <w:t>China</w:t>
      </w:r>
      <w:proofErr w:type="spellEnd"/>
    </w:p>
    <w:p w:rsidR="001842E7" w:rsidRDefault="00BD7098" w:rsidP="00BD7098">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BD7098">
        <w:rPr>
          <w:rFonts w:cs="Times New Roman"/>
          <w:sz w:val="24"/>
          <w:szCs w:val="24"/>
          <w:shd w:val="clear" w:color="auto" w:fill="FFFFFF"/>
          <w:lang w:val="es-ES"/>
        </w:rPr>
        <w:t>En general, el paquete de apoyo estatal, que se puede estimar aproximadamente en más de 2 billones de dólares [según el Coronavirus Government Response Tracker], es bastante grande, pero dado el tamaño de la economía china, la escala de las medidas tomadas no puede considerarse excesiva en comparación con Europa, China no busca ayudar a los hogares. economizar, y las medidas de apoyo a los ingresos son muy limitadas.</w:t>
      </w:r>
    </w:p>
    <w:p w:rsidR="00E9694D" w:rsidRPr="00E9694D" w:rsidRDefault="00E9694D" w:rsidP="00E9694D">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E9694D">
        <w:rPr>
          <w:rFonts w:cs="Times New Roman"/>
          <w:sz w:val="24"/>
          <w:szCs w:val="24"/>
          <w:shd w:val="clear" w:color="auto" w:fill="FFFFFF"/>
          <w:lang w:val="es-ES"/>
        </w:rPr>
        <w:t>Las medidas tomadas en China para apoyar a las empresas afectadas por la epidemia de COVID-19 son específicas, ya que se pone un énfasis significativo en el apoyo a las exportaciones, que desempeñan un papel fundamental en la economía china. También en China, se han introducido importantes medidas de apoyo al sector logístico, ya que la industria se vio gravemente afectada durante el período de cuarentena.</w:t>
      </w:r>
    </w:p>
    <w:p w:rsidR="00BD7098" w:rsidRPr="00527836" w:rsidRDefault="00527836" w:rsidP="00E9694D">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527836">
        <w:rPr>
          <w:rFonts w:cs="Times New Roman"/>
          <w:sz w:val="24"/>
          <w:szCs w:val="24"/>
          <w:shd w:val="clear" w:color="auto" w:fill="FFFFFF"/>
          <w:lang w:val="es-ES"/>
        </w:rPr>
        <w:t>Italia</w:t>
      </w:r>
    </w:p>
    <w:p w:rsidR="00E9694D" w:rsidRDefault="00527836" w:rsidP="00E9694D">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527836">
        <w:rPr>
          <w:rFonts w:cs="Times New Roman"/>
          <w:sz w:val="24"/>
          <w:szCs w:val="24"/>
          <w:shd w:val="clear" w:color="auto" w:fill="FFFFFF"/>
          <w:lang w:val="es-ES"/>
        </w:rPr>
        <w:t>Italia fue el primer país europeo en sufrir una epidemia. El brote se produjo a finales de febrero. Las autoridades italianas adoptaron rápidamente importantes medidas restrictivas, al menos en relación con las regiones afectadas del norte del país, y en general, la severidad de las restricciones nacionales, incluso para los estándares europeos, fue extremadamente alta.</w:t>
      </w:r>
    </w:p>
    <w:p w:rsidR="00781447" w:rsidRPr="00781447" w:rsidRDefault="005C1180" w:rsidP="00781447">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5C1180">
        <w:rPr>
          <w:rFonts w:cs="Times New Roman"/>
          <w:sz w:val="24"/>
          <w:szCs w:val="24"/>
          <w:shd w:val="clear" w:color="auto" w:fill="FFFFFF"/>
          <w:lang w:val="es-ES"/>
        </w:rPr>
        <w:t>La adopción de medidas de apoyo económico se retrasó un poco con respecto al momento del inicio de la epidemia y la introducción de las primeras restricciones serias; sin embargo, en este caso, este "retraso" se midió en días, máximo en semanas. Sin embargo, al mismo tiempo, la escala de las medidas no fue la más impresionante: el apoyo de los trabajadores y la población fue significativo, pero no el más fuerte para los estándares europeos, y el paquete de medidas en su conjunto, aunque parece bastante caro, es en gran medida "virtual", ya que su centro la severidad está sesgada hacia el apoyo indirecto más que hacia los pagos directos. Las medidas están dirigidas al apoyo específico de los grupos de población socialmente vulnerables, así como al apoyo a las pequeñas y medianas empresas. Sin embargo, los mecanismos de apoyo se limitan bastante a reducir la presión fiscal y la carga crediticia, así como a garantizar el acceso al crédito, pero no implican pagos directos a las empresas.</w:t>
      </w:r>
    </w:p>
    <w:p w:rsidR="00781447" w:rsidRPr="00781447" w:rsidRDefault="00781447" w:rsidP="00781447">
      <w:pPr>
        <w:pStyle w:val="a7"/>
        <w:shd w:val="clear" w:color="auto" w:fill="FFFFFF"/>
        <w:tabs>
          <w:tab w:val="left" w:pos="0"/>
          <w:tab w:val="left" w:pos="284"/>
        </w:tabs>
        <w:spacing w:after="0" w:line="360" w:lineRule="auto"/>
        <w:ind w:left="0"/>
        <w:rPr>
          <w:rFonts w:cs="Times New Roman"/>
          <w:sz w:val="24"/>
          <w:szCs w:val="24"/>
          <w:shd w:val="clear" w:color="auto" w:fill="FFFFFF"/>
        </w:rPr>
      </w:pPr>
      <w:proofErr w:type="spellStart"/>
      <w:r w:rsidRPr="00781447">
        <w:rPr>
          <w:rFonts w:cs="Times New Roman"/>
          <w:sz w:val="24"/>
          <w:szCs w:val="24"/>
          <w:shd w:val="clear" w:color="auto" w:fill="FFFFFF"/>
        </w:rPr>
        <w:lastRenderedPageBreak/>
        <w:t>Francia</w:t>
      </w:r>
      <w:proofErr w:type="spellEnd"/>
    </w:p>
    <w:p w:rsidR="005C1180" w:rsidRDefault="00781447" w:rsidP="00781447">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781447">
        <w:rPr>
          <w:rFonts w:cs="Times New Roman"/>
          <w:sz w:val="24"/>
          <w:szCs w:val="24"/>
          <w:shd w:val="clear" w:color="auto" w:fill="FFFFFF"/>
          <w:lang w:val="es-ES"/>
        </w:rPr>
        <w:t>La epidemia en Francia comenzó algo más tarde que en Italia, y su fase aguda duró un poco más, aunque en general los países son bastante comparables en términos de la "escala del desastre". En Francia, las medidas de cuarentena no se tomaron inmediatamente después de que se intensificó la epidemia, sin embargo, cuando se produjeron, se sincronizaron con medidas muy importantes de apoyo a los trabajadores y los hogares. El paquete fiscal anticrisis era nominalmente más pequeño que el italiano, pero en Francia la mayor parte se formalizó en forma de apoyo gubernamental directo.</w:t>
      </w:r>
    </w:p>
    <w:p w:rsidR="00781447" w:rsidRDefault="00781447" w:rsidP="00781447">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781447">
        <w:rPr>
          <w:rFonts w:cs="Times New Roman"/>
          <w:sz w:val="24"/>
          <w:szCs w:val="24"/>
          <w:shd w:val="clear" w:color="auto" w:fill="FFFFFF"/>
          <w:lang w:val="es-ES"/>
        </w:rPr>
        <w:t>El gobierno francés, la Banque de France, el Ministerio de Economía francés y el Ministerio de Trabajo francés han tomado medidas para abordar el impacto económico de la pandemia manteniendo la liquidez actual de las empresas y el empleo. Las medidas que se describen a continuación, como la reducción de la carga fiscal, tienen como objetivo prevenir las quiebras, lo que rápidamente pondrá a la economía post-virus en el camino de la recuperación. Al mismo tiempo, se han pensado medidas para limitar el comportamiento desleal de las empresas: la concesión de beneficios fiscales solo a los contribuyentes honestos que no tienen atrasos y procedimientos judiciales por impagos de impuestos.</w:t>
      </w:r>
    </w:p>
    <w:p w:rsidR="00C54FA2" w:rsidRPr="00C54FA2" w:rsidRDefault="00C54FA2" w:rsidP="00C54FA2">
      <w:pPr>
        <w:pStyle w:val="a7"/>
        <w:shd w:val="clear" w:color="auto" w:fill="FFFFFF"/>
        <w:tabs>
          <w:tab w:val="left" w:pos="0"/>
          <w:tab w:val="left" w:pos="284"/>
        </w:tabs>
        <w:spacing w:after="0" w:line="360" w:lineRule="auto"/>
        <w:ind w:left="0"/>
        <w:rPr>
          <w:rFonts w:cs="Times New Roman"/>
          <w:sz w:val="24"/>
          <w:szCs w:val="24"/>
          <w:shd w:val="clear" w:color="auto" w:fill="FFFFFF"/>
        </w:rPr>
      </w:pPr>
      <w:proofErr w:type="spellStart"/>
      <w:r>
        <w:rPr>
          <w:rFonts w:cs="Times New Roman"/>
          <w:sz w:val="24"/>
          <w:szCs w:val="24"/>
          <w:shd w:val="clear" w:color="auto" w:fill="FFFFFF"/>
        </w:rPr>
        <w:t>Alemania</w:t>
      </w:r>
      <w:proofErr w:type="spellEnd"/>
    </w:p>
    <w:p w:rsidR="00781447" w:rsidRDefault="00C54FA2" w:rsidP="00C54FA2">
      <w:pPr>
        <w:pStyle w:val="a7"/>
        <w:shd w:val="clear" w:color="auto" w:fill="FFFFFF"/>
        <w:tabs>
          <w:tab w:val="left" w:pos="0"/>
          <w:tab w:val="left" w:pos="284"/>
        </w:tabs>
        <w:spacing w:after="0" w:line="360" w:lineRule="auto"/>
        <w:ind w:left="0"/>
        <w:rPr>
          <w:rFonts w:cs="Times New Roman"/>
          <w:sz w:val="24"/>
          <w:szCs w:val="24"/>
          <w:shd w:val="clear" w:color="auto" w:fill="FFFFFF"/>
        </w:rPr>
      </w:pPr>
      <w:r w:rsidRPr="00C54FA2">
        <w:rPr>
          <w:rFonts w:cs="Times New Roman"/>
          <w:sz w:val="24"/>
          <w:szCs w:val="24"/>
          <w:shd w:val="clear" w:color="auto" w:fill="FFFFFF"/>
          <w:lang w:val="es-ES"/>
        </w:rPr>
        <w:t>En Alemania, la pandemia estalló aproximadamente al mismo tiempo que Francia, pero al mismo tiempo pasó más rápido y con pérdidas mucho menores en comparación no solo con Francia e Italia, sino también con otros grandes países europeos. Al mismo tiempo, las restricciones impuestas resultaron ser bastante moderadas en términos de severidad y duración. Al mismo tiempo, Alemania introdujo, aunque no de inmediato, un paquete de ayudas estatales a gran escalas a la economía.</w:t>
      </w:r>
    </w:p>
    <w:p w:rsidR="00C54FA2" w:rsidRPr="00C54FA2" w:rsidRDefault="00C54FA2" w:rsidP="00C54FA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C54FA2">
        <w:rPr>
          <w:rFonts w:cs="Times New Roman"/>
          <w:sz w:val="24"/>
          <w:szCs w:val="24"/>
          <w:shd w:val="clear" w:color="auto" w:fill="FFFFFF"/>
          <w:lang w:val="es-ES"/>
        </w:rPr>
        <w:t>E</w:t>
      </w:r>
      <w:r>
        <w:rPr>
          <w:rFonts w:cs="Times New Roman"/>
          <w:sz w:val="24"/>
          <w:szCs w:val="24"/>
          <w:shd w:val="clear" w:color="auto" w:fill="FFFFFF"/>
          <w:lang w:val="es-ES"/>
        </w:rPr>
        <w:t>stados Unidos</w:t>
      </w:r>
    </w:p>
    <w:p w:rsidR="00C54FA2" w:rsidRPr="00C54FA2" w:rsidRDefault="00C54FA2" w:rsidP="00C54FA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C54FA2">
        <w:rPr>
          <w:rFonts w:cs="Times New Roman"/>
          <w:sz w:val="24"/>
          <w:szCs w:val="24"/>
          <w:shd w:val="clear" w:color="auto" w:fill="FFFFFF"/>
          <w:lang w:val="es-ES"/>
        </w:rPr>
        <w:t>En los Estados Unidos, el inicio de la epidemia se produjo aproximadamente al mismo tiempo que en los países europeos, pero debido al tamaño del país, la infección se desarrolló mucho más tiempo y la fase de su atenuación también se retrasó. Los estadounidenses introdujeron restricciones de cuarentena y las correspondientes medidas de apoyo estatal casi al mismo tiempo que los europeos. Al mismo tiempo, el nivel de las restricciones de cuarentena resultó ser bastante moderado, como en Alemania, aunque los plazos, dependiendo del estado, por supuesto, obviamente se están alargando.</w:t>
      </w:r>
    </w:p>
    <w:p w:rsidR="00C54FA2" w:rsidRDefault="00C54FA2" w:rsidP="00C54FA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C54FA2">
        <w:rPr>
          <w:rFonts w:cs="Times New Roman"/>
          <w:sz w:val="24"/>
          <w:szCs w:val="24"/>
          <w:shd w:val="clear" w:color="auto" w:fill="FFFFFF"/>
          <w:lang w:val="es-ES"/>
        </w:rPr>
        <w:t>La cantidad de fondos invertidos en apoyo anticrisis a la economía, incluidos los pagos directos, es bastante significativa, aproximadamente igual al paquete de medidas chino. Pero en el caso de Estados Unidos, el apoyo económico a los trabajadores y los hogares es menos exhaustivo que en Europa.</w:t>
      </w:r>
    </w:p>
    <w:p w:rsidR="00C54FA2" w:rsidRDefault="009468BE" w:rsidP="009468BE">
      <w:pPr>
        <w:pStyle w:val="a7"/>
        <w:numPr>
          <w:ilvl w:val="1"/>
          <w:numId w:val="38"/>
        </w:numPr>
        <w:shd w:val="clear" w:color="auto" w:fill="FFFFFF"/>
        <w:tabs>
          <w:tab w:val="left" w:pos="0"/>
          <w:tab w:val="left" w:pos="284"/>
        </w:tabs>
        <w:spacing w:after="0" w:line="360" w:lineRule="auto"/>
        <w:jc w:val="center"/>
        <w:rPr>
          <w:rFonts w:cs="Times New Roman"/>
          <w:sz w:val="24"/>
          <w:szCs w:val="24"/>
          <w:shd w:val="clear" w:color="auto" w:fill="FFFFFF"/>
          <w:lang w:val="es-ES"/>
        </w:rPr>
      </w:pPr>
      <w:r w:rsidRPr="009468BE">
        <w:rPr>
          <w:rFonts w:cs="Times New Roman"/>
          <w:sz w:val="24"/>
          <w:szCs w:val="24"/>
          <w:shd w:val="clear" w:color="auto" w:fill="FFFFFF"/>
          <w:lang w:val="es-ES"/>
        </w:rPr>
        <w:lastRenderedPageBreak/>
        <w:t>El papel creciente de la regulación gubernamental durante la pandemia</w:t>
      </w:r>
    </w:p>
    <w:p w:rsidR="009468BE" w:rsidRDefault="009468BE" w:rsidP="009468BE">
      <w:pPr>
        <w:pStyle w:val="a7"/>
        <w:shd w:val="clear" w:color="auto" w:fill="FFFFFF"/>
        <w:tabs>
          <w:tab w:val="left" w:pos="0"/>
          <w:tab w:val="left" w:pos="284"/>
        </w:tabs>
        <w:spacing w:after="0" w:line="360" w:lineRule="auto"/>
        <w:ind w:left="1410"/>
        <w:rPr>
          <w:rFonts w:cs="Times New Roman"/>
          <w:sz w:val="24"/>
          <w:szCs w:val="24"/>
          <w:shd w:val="clear" w:color="auto" w:fill="FFFFFF"/>
          <w:lang w:val="es-ES"/>
        </w:rPr>
      </w:pPr>
    </w:p>
    <w:p w:rsidR="009468BE" w:rsidRDefault="00286B55"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286B55">
        <w:rPr>
          <w:rFonts w:cs="Times New Roman"/>
          <w:sz w:val="24"/>
          <w:szCs w:val="24"/>
          <w:shd w:val="clear" w:color="auto" w:fill="FFFFFF"/>
          <w:lang w:val="es-ES"/>
        </w:rPr>
        <w:t>Esta sección considerará las características de la regulación estatal de la economía durante una crisis, principalmente asociadas con la influencia directa del estado sobre el grado de declive económico.</w:t>
      </w:r>
    </w:p>
    <w:p w:rsidR="00286B55" w:rsidRDefault="00286B55"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1D1C12" w:rsidRDefault="001D1C12"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D1C12">
        <w:rPr>
          <w:rFonts w:cs="Times New Roman"/>
          <w:sz w:val="24"/>
          <w:szCs w:val="24"/>
          <w:shd w:val="clear" w:color="auto" w:fill="FFFFFF"/>
          <w:lang w:val="es-ES"/>
        </w:rPr>
        <w:t>La pandemia de coronavirus tiene una amplia gama de consecuencias en todos los ámbitos de la vida. En primer lugar, la economía y las esferas sociales cayeron bajo su influencia. Además, en términos de escala, debemos hablar de una macrocrisis, ya que el área de su distribución es demasiado grande. Cabe destacar que, a diferencia de las crisis naturales, que se basan típicamente en contradicciones y desproporciones económicas y sociales, el lockdown de 2020 es una fuerza mayor en su forma más pura, una de las que pueden volverse más frecuente en el futuro.</w:t>
      </w:r>
    </w:p>
    <w:p w:rsidR="001D1C12" w:rsidRDefault="001D1C12"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D1C12">
        <w:rPr>
          <w:rFonts w:cs="Times New Roman"/>
          <w:sz w:val="24"/>
          <w:szCs w:val="24"/>
          <w:shd w:val="clear" w:color="auto" w:fill="FFFFFF"/>
          <w:lang w:val="es-ES"/>
        </w:rPr>
        <w:t>La naturaleza de la crisis económica en el contexto de una pandemia difiere significativamente de las crisis "ordinarias", ya que el nivel de recesión económica depende no solo del estado general de la economía del país, sino también del estado de la atención médica en el país y de las medidas tomadas por el estado para contener la epidemia. La pandemia ha establecido dos tareas principales para el estado: salvar la vida de las personas y salvar los medios de subsistencia. Al mismo tiempo, la reacción de los estados ante el desarrollo de la epidemia es diferente: desde un control mínimo (Suecia) hasta un control administrativo completo (China).</w:t>
      </w:r>
    </w:p>
    <w:p w:rsidR="001D1C12" w:rsidRDefault="001D1C12"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D1C12">
        <w:rPr>
          <w:rFonts w:cs="Times New Roman"/>
          <w:sz w:val="24"/>
          <w:szCs w:val="24"/>
          <w:shd w:val="clear" w:color="auto" w:fill="FFFFFF"/>
          <w:lang w:val="es-ES"/>
        </w:rPr>
        <w:t>En tales condiciones, el golpe principal cayó sobre el sector real de la economía: la interrupción y el congelamiento de las relaciones comerciales, una ruptura parcial de las cadenas de producción y suministro llevaron a la paralización de los negocios. Al mismo tiempo, muchos no tenían el colchón financiero para sobrevivir varios meses de inactividad. Como consecuencia, la caída proyectada del PIB en 2020, proporcionada por el Banco Mundial, es del 6%. A modo de comparación, las cifras oficiales de crecimiento del PIB en 2019 fueron del 1,3%, es decir, la recuperación económica completa puede tardar unos 5 años.</w:t>
      </w:r>
    </w:p>
    <w:p w:rsidR="001D1C12" w:rsidRDefault="001D1C12"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D1C12">
        <w:rPr>
          <w:rFonts w:cs="Times New Roman"/>
          <w:sz w:val="24"/>
          <w:szCs w:val="24"/>
          <w:shd w:val="clear" w:color="auto" w:fill="FFFFFF"/>
          <w:lang w:val="es-ES"/>
        </w:rPr>
        <w:t>La gran caída esperada de la economía sugiere la necesidad de incrementar el apoyo gubernamental al sector real de la economía a largo plazo. Sin embargo, la cuestión de la idoneidad y suficiencia de las medidas tomadas por el estado estará abierta hasta que haya pasado un tiempo significativo después del final de la pandemia.</w:t>
      </w:r>
    </w:p>
    <w:p w:rsidR="001D1C12" w:rsidRDefault="001D1C12"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AC7EB9" w:rsidRDefault="00AC7EB9" w:rsidP="009468BE">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1D1C12" w:rsidRDefault="001D1C12" w:rsidP="001D1C12">
      <w:pPr>
        <w:pStyle w:val="a7"/>
        <w:numPr>
          <w:ilvl w:val="0"/>
          <w:numId w:val="38"/>
        </w:numPr>
        <w:shd w:val="clear" w:color="auto" w:fill="FFFFFF"/>
        <w:tabs>
          <w:tab w:val="left" w:pos="0"/>
          <w:tab w:val="left" w:pos="284"/>
        </w:tabs>
        <w:spacing w:after="0" w:line="360" w:lineRule="auto"/>
        <w:jc w:val="center"/>
        <w:rPr>
          <w:rFonts w:cs="Times New Roman"/>
          <w:sz w:val="24"/>
          <w:szCs w:val="24"/>
          <w:shd w:val="clear" w:color="auto" w:fill="FFFFFF"/>
          <w:lang w:val="es-ES"/>
        </w:rPr>
      </w:pPr>
      <w:r w:rsidRPr="001D1C12">
        <w:rPr>
          <w:rFonts w:cs="Times New Roman"/>
          <w:sz w:val="24"/>
          <w:szCs w:val="24"/>
          <w:shd w:val="clear" w:color="auto" w:fill="FFFFFF"/>
          <w:lang w:val="es-ES"/>
        </w:rPr>
        <w:lastRenderedPageBreak/>
        <w:t>Consecuencias de la pandemia para la economía mundial</w:t>
      </w:r>
    </w:p>
    <w:p w:rsidR="001D1C12" w:rsidRDefault="001D1C12" w:rsidP="001D1C12">
      <w:pPr>
        <w:pStyle w:val="a7"/>
        <w:shd w:val="clear" w:color="auto" w:fill="FFFFFF"/>
        <w:tabs>
          <w:tab w:val="left" w:pos="0"/>
          <w:tab w:val="left" w:pos="284"/>
        </w:tabs>
        <w:spacing w:after="0" w:line="360" w:lineRule="auto"/>
        <w:rPr>
          <w:rFonts w:cs="Times New Roman"/>
          <w:sz w:val="24"/>
          <w:szCs w:val="24"/>
          <w:shd w:val="clear" w:color="auto" w:fill="FFFFFF"/>
          <w:lang w:val="es-ES"/>
        </w:rPr>
      </w:pPr>
    </w:p>
    <w:p w:rsidR="001D1C12" w:rsidRDefault="002E78FB" w:rsidP="001D1C1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2E78FB">
        <w:rPr>
          <w:rFonts w:cs="Times New Roman"/>
          <w:sz w:val="24"/>
          <w:szCs w:val="24"/>
          <w:shd w:val="clear" w:color="auto" w:fill="FFFFFF"/>
          <w:lang w:val="es-ES"/>
        </w:rPr>
        <w:t>Este capítulo examinará el impacto de los aspectos específicos de las medidas gubernamentales para nivelar la crisis en el estado de la economía.</w:t>
      </w:r>
    </w:p>
    <w:p w:rsidR="002E78FB" w:rsidRDefault="002E78FB" w:rsidP="001D1C1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p>
    <w:p w:rsidR="002E78FB" w:rsidRDefault="00140618" w:rsidP="001D1C12">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40618">
        <w:rPr>
          <w:rFonts w:cs="Times New Roman"/>
          <w:sz w:val="24"/>
          <w:szCs w:val="24"/>
          <w:shd w:val="clear" w:color="auto" w:fill="FFFFFF"/>
          <w:lang w:val="es-ES"/>
        </w:rPr>
        <w:t>Dado que, en la actualidad, la pandemia continúa, no es posible evaluar el impacto de la efectividad de la regulación gubernamental. Es necesario esperar los datos sobre el estado de la economía mundial en 2020.</w:t>
      </w:r>
    </w:p>
    <w:p w:rsidR="00140618" w:rsidRPr="00140618" w:rsidRDefault="00140618" w:rsidP="00140618">
      <w:pPr>
        <w:pStyle w:val="a7"/>
        <w:shd w:val="clear" w:color="auto" w:fill="FFFFFF"/>
        <w:tabs>
          <w:tab w:val="left" w:pos="0"/>
          <w:tab w:val="left" w:pos="284"/>
        </w:tabs>
        <w:spacing w:after="0" w:line="360" w:lineRule="auto"/>
        <w:ind w:left="0"/>
        <w:rPr>
          <w:rFonts w:cs="Times New Roman"/>
          <w:sz w:val="24"/>
          <w:szCs w:val="24"/>
          <w:shd w:val="clear" w:color="auto" w:fill="FFFFFF"/>
          <w:lang w:val="es-ES"/>
        </w:rPr>
      </w:pPr>
      <w:r w:rsidRPr="00140618">
        <w:rPr>
          <w:rFonts w:cs="Times New Roman"/>
          <w:sz w:val="24"/>
          <w:szCs w:val="24"/>
          <w:shd w:val="clear" w:color="auto" w:fill="FFFFFF"/>
          <w:lang w:val="es-ES"/>
        </w:rPr>
        <w:t>Las consecuencias de la crisis esperadas por el autor:</w:t>
      </w:r>
    </w:p>
    <w:p w:rsidR="00140618" w:rsidRDefault="00140618" w:rsidP="00140618">
      <w:pPr>
        <w:pStyle w:val="a7"/>
        <w:numPr>
          <w:ilvl w:val="0"/>
          <w:numId w:val="41"/>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140618">
        <w:rPr>
          <w:rFonts w:cs="Times New Roman"/>
          <w:sz w:val="24"/>
          <w:szCs w:val="24"/>
          <w:shd w:val="clear" w:color="auto" w:fill="FFFFFF"/>
          <w:lang w:val="es-ES"/>
        </w:rPr>
        <w:t>Transición a tecnologías en línea con el correspondiente cambio en la legislación tributaria y laboral.</w:t>
      </w:r>
    </w:p>
    <w:p w:rsidR="00140618" w:rsidRDefault="00140618" w:rsidP="00140618">
      <w:pPr>
        <w:pStyle w:val="a7"/>
        <w:numPr>
          <w:ilvl w:val="0"/>
          <w:numId w:val="41"/>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140618">
        <w:rPr>
          <w:rFonts w:cs="Times New Roman"/>
          <w:sz w:val="24"/>
          <w:szCs w:val="24"/>
          <w:shd w:val="clear" w:color="auto" w:fill="FFFFFF"/>
          <w:lang w:val="es-ES"/>
        </w:rPr>
        <w:t>Incrementar el papel del Estado en la regulación de las economías nacionales. Apoyo a la salud. Un aumento en el nivel de apoyo a los sectores de servicios de la economía (turismo, entretenimiento, industria cinematográfica, transporte de pasajeros, incluido el transporte aéreo, etc.), al menos en la etapa inicial de recuperación económica.</w:t>
      </w:r>
    </w:p>
    <w:p w:rsidR="00140618" w:rsidRPr="00140618" w:rsidRDefault="00140618" w:rsidP="00140618">
      <w:pPr>
        <w:pStyle w:val="a7"/>
        <w:numPr>
          <w:ilvl w:val="0"/>
          <w:numId w:val="41"/>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140618">
        <w:rPr>
          <w:rFonts w:cs="Times New Roman"/>
          <w:sz w:val="24"/>
          <w:szCs w:val="24"/>
          <w:shd w:val="clear" w:color="auto" w:fill="FFFFFF"/>
          <w:lang w:val="es-ES"/>
        </w:rPr>
        <w:t>Mayor control gubernamental sobre el comercio internacional. Pasar de una economía orientada a la exportación a la sustitución de importaciones. Intensificación del proceso de reshoring, es decir, cuando algunos procesos subcontratados regresan al país fabricante debido al aumento de costos, la inestabilidad económica y política en los países proveedores y el riesgo de crisis por pandemias.</w:t>
      </w:r>
    </w:p>
    <w:p w:rsidR="00140618" w:rsidRPr="00140618" w:rsidRDefault="00140618" w:rsidP="00140618">
      <w:pPr>
        <w:pStyle w:val="a7"/>
        <w:numPr>
          <w:ilvl w:val="0"/>
          <w:numId w:val="41"/>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140618">
        <w:rPr>
          <w:rFonts w:cs="Times New Roman"/>
          <w:sz w:val="24"/>
          <w:szCs w:val="24"/>
          <w:shd w:val="clear" w:color="auto" w:fill="FFFFFF"/>
          <w:lang w:val="es-ES"/>
        </w:rPr>
        <w:t>Reducción de cadenas de valor.</w:t>
      </w:r>
    </w:p>
    <w:p w:rsidR="00140618" w:rsidRDefault="00140618" w:rsidP="00140618">
      <w:pPr>
        <w:pStyle w:val="a7"/>
        <w:numPr>
          <w:ilvl w:val="0"/>
          <w:numId w:val="41"/>
        </w:numPr>
        <w:shd w:val="clear" w:color="auto" w:fill="FFFFFF"/>
        <w:tabs>
          <w:tab w:val="left" w:pos="0"/>
          <w:tab w:val="left" w:pos="284"/>
        </w:tabs>
        <w:spacing w:after="0" w:line="360" w:lineRule="auto"/>
        <w:ind w:left="0" w:firstLine="0"/>
        <w:rPr>
          <w:rFonts w:cs="Times New Roman"/>
          <w:sz w:val="24"/>
          <w:szCs w:val="24"/>
          <w:shd w:val="clear" w:color="auto" w:fill="FFFFFF"/>
          <w:lang w:val="es-ES"/>
        </w:rPr>
      </w:pPr>
      <w:r w:rsidRPr="00140618">
        <w:rPr>
          <w:rFonts w:cs="Times New Roman"/>
          <w:sz w:val="24"/>
          <w:szCs w:val="24"/>
          <w:shd w:val="clear" w:color="auto" w:fill="FFFFFF"/>
          <w:lang w:val="es-ES"/>
        </w:rPr>
        <w:t>Aumento de la participación de la propiedad estatal en la economía.</w:t>
      </w:r>
    </w:p>
    <w:p w:rsidR="00BE137F" w:rsidRDefault="00BE137F" w:rsidP="00BE137F">
      <w:pPr>
        <w:shd w:val="clear" w:color="auto" w:fill="FFFFFF"/>
        <w:tabs>
          <w:tab w:val="left" w:pos="0"/>
          <w:tab w:val="left" w:pos="284"/>
        </w:tabs>
        <w:spacing w:after="0" w:line="360" w:lineRule="auto"/>
        <w:rPr>
          <w:rFonts w:cs="Times New Roman"/>
          <w:sz w:val="24"/>
          <w:szCs w:val="24"/>
          <w:shd w:val="clear" w:color="auto" w:fill="FFFFFF"/>
          <w:lang w:val="es-ES"/>
        </w:rPr>
      </w:pPr>
    </w:p>
    <w:p w:rsidR="00BE137F" w:rsidRPr="00AC7EB9" w:rsidRDefault="00BE137F" w:rsidP="00AC7EB9">
      <w:pPr>
        <w:shd w:val="clear" w:color="auto" w:fill="FFFFFF"/>
        <w:tabs>
          <w:tab w:val="left" w:pos="0"/>
          <w:tab w:val="left" w:pos="284"/>
        </w:tabs>
        <w:spacing w:after="0" w:line="360" w:lineRule="auto"/>
        <w:jc w:val="center"/>
        <w:rPr>
          <w:rFonts w:cs="Times New Roman"/>
          <w:b/>
          <w:sz w:val="24"/>
          <w:szCs w:val="24"/>
          <w:shd w:val="clear" w:color="auto" w:fill="FFFFFF"/>
          <w:lang w:val="es-ES"/>
        </w:rPr>
      </w:pPr>
      <w:r w:rsidRPr="00AC7EB9">
        <w:rPr>
          <w:rFonts w:cs="Times New Roman"/>
          <w:b/>
          <w:sz w:val="24"/>
          <w:szCs w:val="24"/>
          <w:shd w:val="clear" w:color="auto" w:fill="FFFFFF"/>
          <w:lang w:val="es-ES"/>
        </w:rPr>
        <w:t>Bibliografía</w:t>
      </w:r>
    </w:p>
    <w:p w:rsidR="00BE137F" w:rsidRDefault="00BE137F" w:rsidP="00BE137F">
      <w:pPr>
        <w:shd w:val="clear" w:color="auto" w:fill="FFFFFF"/>
        <w:tabs>
          <w:tab w:val="left" w:pos="0"/>
          <w:tab w:val="left" w:pos="284"/>
        </w:tabs>
        <w:spacing w:after="0" w:line="360" w:lineRule="auto"/>
        <w:rPr>
          <w:rFonts w:cs="Times New Roman"/>
          <w:sz w:val="24"/>
          <w:szCs w:val="24"/>
          <w:shd w:val="clear" w:color="auto" w:fill="FFFFFF"/>
          <w:lang w:val="es-ES"/>
        </w:rPr>
      </w:pPr>
    </w:p>
    <w:p w:rsidR="00AC7EB9" w:rsidRDefault="00DF5BF0" w:rsidP="00BE137F">
      <w:pPr>
        <w:shd w:val="clear" w:color="auto" w:fill="FFFFFF"/>
        <w:tabs>
          <w:tab w:val="left" w:pos="0"/>
          <w:tab w:val="left" w:pos="284"/>
        </w:tabs>
        <w:spacing w:after="0" w:line="360" w:lineRule="auto"/>
        <w:rPr>
          <w:rFonts w:cs="Times New Roman"/>
          <w:sz w:val="24"/>
          <w:szCs w:val="24"/>
          <w:shd w:val="clear" w:color="auto" w:fill="FFFFFF"/>
          <w:lang w:val="es-ES"/>
        </w:rPr>
      </w:pPr>
      <w:r w:rsidRPr="00DF5BF0">
        <w:rPr>
          <w:rFonts w:cs="Times New Roman"/>
          <w:sz w:val="24"/>
          <w:szCs w:val="24"/>
          <w:shd w:val="clear" w:color="auto" w:fill="FFFFFF"/>
          <w:lang w:val="es-ES"/>
        </w:rPr>
        <w:t xml:space="preserve">Varias fuentes de recopilación de datos se indican en el texto del proyecto. </w:t>
      </w:r>
      <w:r w:rsidR="000816F1" w:rsidRPr="000816F1">
        <w:rPr>
          <w:rFonts w:cs="Times New Roman"/>
          <w:sz w:val="24"/>
          <w:szCs w:val="24"/>
          <w:shd w:val="clear" w:color="auto" w:fill="FFFFFF"/>
          <w:lang w:val="es-ES"/>
        </w:rPr>
        <w:t>Debido a las particularidades del tema elegido, es imposible indicar de antemano la literatura utilizada</w:t>
      </w:r>
      <w:r w:rsidR="000816F1">
        <w:rPr>
          <w:rFonts w:cs="Times New Roman"/>
          <w:sz w:val="24"/>
          <w:szCs w:val="24"/>
          <w:shd w:val="clear" w:color="auto" w:fill="FFFFFF"/>
          <w:lang w:val="es-ES"/>
        </w:rPr>
        <w:t>.</w:t>
      </w:r>
      <w:r w:rsidRPr="00DF5BF0">
        <w:rPr>
          <w:rFonts w:cs="Times New Roman"/>
          <w:sz w:val="24"/>
          <w:szCs w:val="24"/>
          <w:shd w:val="clear" w:color="auto" w:fill="FFFFFF"/>
          <w:lang w:val="es-ES"/>
        </w:rPr>
        <w:t xml:space="preserve"> </w:t>
      </w:r>
      <w:r w:rsidR="000816F1">
        <w:rPr>
          <w:rFonts w:cs="Times New Roman"/>
          <w:sz w:val="24"/>
          <w:szCs w:val="24"/>
          <w:shd w:val="clear" w:color="auto" w:fill="FFFFFF"/>
          <w:lang w:val="es-ES"/>
        </w:rPr>
        <w:t>T</w:t>
      </w:r>
      <w:r w:rsidR="000816F1" w:rsidRPr="00DF5BF0">
        <w:rPr>
          <w:rFonts w:cs="Times New Roman"/>
          <w:sz w:val="24"/>
          <w:szCs w:val="24"/>
          <w:shd w:val="clear" w:color="auto" w:fill="FFFFFF"/>
          <w:lang w:val="es-ES"/>
        </w:rPr>
        <w:t xml:space="preserve">odos los datos necesarios actualizados </w:t>
      </w:r>
      <w:r w:rsidRPr="00DF5BF0">
        <w:rPr>
          <w:rFonts w:cs="Times New Roman"/>
          <w:sz w:val="24"/>
          <w:szCs w:val="24"/>
          <w:shd w:val="clear" w:color="auto" w:fill="FFFFFF"/>
          <w:lang w:val="es-ES"/>
        </w:rPr>
        <w:t>se recopilarán y se llevarán a cabo los análisis designados.</w:t>
      </w:r>
    </w:p>
    <w:p w:rsidR="00DF5BF0" w:rsidRDefault="00DF5BF0" w:rsidP="00BE137F">
      <w:pPr>
        <w:shd w:val="clear" w:color="auto" w:fill="FFFFFF"/>
        <w:tabs>
          <w:tab w:val="left" w:pos="0"/>
          <w:tab w:val="left" w:pos="284"/>
        </w:tabs>
        <w:spacing w:after="0" w:line="360" w:lineRule="auto"/>
        <w:rPr>
          <w:rFonts w:cs="Times New Roman"/>
          <w:sz w:val="24"/>
          <w:szCs w:val="24"/>
          <w:shd w:val="clear" w:color="auto" w:fill="FFFFFF"/>
          <w:lang w:val="es-ES"/>
        </w:rPr>
      </w:pPr>
    </w:p>
    <w:p w:rsidR="000816F1" w:rsidRPr="00406EC3" w:rsidRDefault="00406EC3" w:rsidP="00406EC3">
      <w:pPr>
        <w:shd w:val="clear" w:color="auto" w:fill="FFFFFF"/>
        <w:tabs>
          <w:tab w:val="left" w:pos="0"/>
          <w:tab w:val="left" w:pos="284"/>
        </w:tabs>
        <w:spacing w:after="0" w:line="360" w:lineRule="auto"/>
        <w:jc w:val="center"/>
        <w:rPr>
          <w:rFonts w:cs="Times New Roman"/>
          <w:b/>
          <w:sz w:val="24"/>
          <w:szCs w:val="24"/>
          <w:shd w:val="clear" w:color="auto" w:fill="FFFFFF"/>
          <w:lang w:val="es-ES"/>
        </w:rPr>
      </w:pPr>
      <w:r w:rsidRPr="00406EC3">
        <w:rPr>
          <w:rFonts w:cs="Times New Roman"/>
          <w:b/>
          <w:sz w:val="24"/>
          <w:szCs w:val="24"/>
          <w:shd w:val="clear" w:color="auto" w:fill="FFFFFF"/>
          <w:lang w:val="es-ES"/>
        </w:rPr>
        <w:t>Cronograma de las tareas a realizar</w:t>
      </w:r>
    </w:p>
    <w:p w:rsidR="00406EC3" w:rsidRDefault="00406EC3" w:rsidP="00BE137F">
      <w:pPr>
        <w:shd w:val="clear" w:color="auto" w:fill="FFFFFF"/>
        <w:tabs>
          <w:tab w:val="left" w:pos="0"/>
          <w:tab w:val="left" w:pos="284"/>
        </w:tabs>
        <w:spacing w:after="0" w:line="360" w:lineRule="auto"/>
        <w:rPr>
          <w:rFonts w:cs="Times New Roman"/>
          <w:sz w:val="24"/>
          <w:szCs w:val="24"/>
          <w:shd w:val="clear" w:color="auto" w:fill="FFFFFF"/>
          <w:lang w:val="es-ES"/>
        </w:rPr>
      </w:pPr>
    </w:p>
    <w:tbl>
      <w:tblPr>
        <w:tblStyle w:val="a6"/>
        <w:tblW w:w="0" w:type="auto"/>
        <w:tblLook w:val="04A0" w:firstRow="1" w:lastRow="0" w:firstColumn="1" w:lastColumn="0" w:noHBand="0" w:noVBand="1"/>
      </w:tblPr>
      <w:tblGrid>
        <w:gridCol w:w="1913"/>
        <w:gridCol w:w="1914"/>
        <w:gridCol w:w="1914"/>
        <w:gridCol w:w="1914"/>
        <w:gridCol w:w="1915"/>
      </w:tblGrid>
      <w:tr w:rsidR="00406EC3" w:rsidTr="009D2738">
        <w:tc>
          <w:tcPr>
            <w:tcW w:w="1914" w:type="dxa"/>
          </w:tcPr>
          <w:p w:rsidR="00406EC3" w:rsidRDefault="00406EC3" w:rsidP="00CD4239">
            <w:pPr>
              <w:tabs>
                <w:tab w:val="left" w:pos="0"/>
                <w:tab w:val="left" w:pos="284"/>
              </w:tabs>
              <w:jc w:val="center"/>
              <w:rPr>
                <w:rFonts w:cs="Times New Roman"/>
                <w:sz w:val="24"/>
                <w:szCs w:val="24"/>
                <w:shd w:val="clear" w:color="auto" w:fill="FFFFFF"/>
                <w:lang w:val="es-ES"/>
              </w:rPr>
            </w:pPr>
          </w:p>
        </w:tc>
        <w:tc>
          <w:tcPr>
            <w:tcW w:w="1914" w:type="dxa"/>
            <w:vAlign w:val="center"/>
          </w:tcPr>
          <w:p w:rsidR="00406EC3" w:rsidRDefault="00CD4239" w:rsidP="009D2738">
            <w:pPr>
              <w:tabs>
                <w:tab w:val="left" w:pos="0"/>
                <w:tab w:val="left" w:pos="284"/>
              </w:tabs>
              <w:jc w:val="center"/>
              <w:rPr>
                <w:rFonts w:cs="Times New Roman"/>
                <w:sz w:val="24"/>
                <w:szCs w:val="24"/>
                <w:shd w:val="clear" w:color="auto" w:fill="FFFFFF"/>
                <w:lang w:val="es-ES"/>
              </w:rPr>
            </w:pPr>
            <w:r w:rsidRPr="00CD4239">
              <w:rPr>
                <w:rFonts w:cs="Times New Roman"/>
                <w:sz w:val="24"/>
                <w:szCs w:val="24"/>
                <w:shd w:val="clear" w:color="auto" w:fill="FFFFFF"/>
                <w:lang w:val="es-ES"/>
              </w:rPr>
              <w:t>Capítulo 1</w:t>
            </w:r>
          </w:p>
        </w:tc>
        <w:tc>
          <w:tcPr>
            <w:tcW w:w="1914" w:type="dxa"/>
            <w:vAlign w:val="center"/>
          </w:tcPr>
          <w:p w:rsidR="00406EC3" w:rsidRDefault="00CD4239" w:rsidP="009D2738">
            <w:pPr>
              <w:tabs>
                <w:tab w:val="left" w:pos="0"/>
                <w:tab w:val="left" w:pos="284"/>
              </w:tabs>
              <w:jc w:val="center"/>
              <w:rPr>
                <w:rFonts w:cs="Times New Roman"/>
                <w:sz w:val="24"/>
                <w:szCs w:val="24"/>
                <w:shd w:val="clear" w:color="auto" w:fill="FFFFFF"/>
                <w:lang w:val="es-ES"/>
              </w:rPr>
            </w:pPr>
            <w:r>
              <w:rPr>
                <w:rFonts w:cs="Times New Roman"/>
                <w:sz w:val="24"/>
                <w:szCs w:val="24"/>
                <w:shd w:val="clear" w:color="auto" w:fill="FFFFFF"/>
                <w:lang w:val="es-ES"/>
              </w:rPr>
              <w:t>Capítulo 2</w:t>
            </w:r>
          </w:p>
        </w:tc>
        <w:tc>
          <w:tcPr>
            <w:tcW w:w="1914" w:type="dxa"/>
            <w:vAlign w:val="center"/>
          </w:tcPr>
          <w:p w:rsidR="00406EC3" w:rsidRDefault="00CD4239" w:rsidP="009D2738">
            <w:pPr>
              <w:tabs>
                <w:tab w:val="left" w:pos="0"/>
                <w:tab w:val="left" w:pos="284"/>
              </w:tabs>
              <w:jc w:val="center"/>
              <w:rPr>
                <w:rFonts w:cs="Times New Roman"/>
                <w:sz w:val="24"/>
                <w:szCs w:val="24"/>
                <w:shd w:val="clear" w:color="auto" w:fill="FFFFFF"/>
                <w:lang w:val="es-ES"/>
              </w:rPr>
            </w:pPr>
            <w:r>
              <w:rPr>
                <w:rFonts w:cs="Times New Roman"/>
                <w:sz w:val="24"/>
                <w:szCs w:val="24"/>
                <w:shd w:val="clear" w:color="auto" w:fill="FFFFFF"/>
                <w:lang w:val="es-ES"/>
              </w:rPr>
              <w:t>Capítulo 3</w:t>
            </w:r>
          </w:p>
        </w:tc>
        <w:tc>
          <w:tcPr>
            <w:tcW w:w="1915" w:type="dxa"/>
            <w:vAlign w:val="center"/>
          </w:tcPr>
          <w:p w:rsidR="00406EC3" w:rsidRDefault="00CD4239" w:rsidP="009D2738">
            <w:pPr>
              <w:tabs>
                <w:tab w:val="left" w:pos="0"/>
                <w:tab w:val="left" w:pos="284"/>
              </w:tabs>
              <w:jc w:val="center"/>
              <w:rPr>
                <w:rFonts w:cs="Times New Roman"/>
                <w:sz w:val="24"/>
                <w:szCs w:val="24"/>
                <w:shd w:val="clear" w:color="auto" w:fill="FFFFFF"/>
                <w:lang w:val="es-ES"/>
              </w:rPr>
            </w:pPr>
            <w:r w:rsidRPr="00CD4239">
              <w:rPr>
                <w:rFonts w:cs="Times New Roman"/>
                <w:sz w:val="24"/>
                <w:szCs w:val="24"/>
                <w:shd w:val="clear" w:color="auto" w:fill="FFFFFF"/>
                <w:lang w:val="es-ES"/>
              </w:rPr>
              <w:t>Introducción</w:t>
            </w:r>
            <w:r>
              <w:rPr>
                <w:rFonts w:cs="Times New Roman"/>
                <w:sz w:val="24"/>
                <w:szCs w:val="24"/>
                <w:shd w:val="clear" w:color="auto" w:fill="FFFFFF"/>
                <w:lang w:val="es-ES"/>
              </w:rPr>
              <w:t xml:space="preserve">, </w:t>
            </w:r>
            <w:r w:rsidRPr="00CD4239">
              <w:rPr>
                <w:rFonts w:cs="Times New Roman"/>
                <w:sz w:val="24"/>
                <w:szCs w:val="24"/>
                <w:shd w:val="clear" w:color="auto" w:fill="FFFFFF"/>
                <w:lang w:val="es-ES"/>
              </w:rPr>
              <w:t>conclusiones</w:t>
            </w:r>
            <w:r>
              <w:rPr>
                <w:rFonts w:cs="Times New Roman"/>
                <w:sz w:val="24"/>
                <w:szCs w:val="24"/>
                <w:shd w:val="clear" w:color="auto" w:fill="FFFFFF"/>
                <w:lang w:val="es-ES"/>
              </w:rPr>
              <w:t xml:space="preserve">, </w:t>
            </w:r>
            <w:r w:rsidRPr="00CD4239">
              <w:rPr>
                <w:rFonts w:cs="Times New Roman"/>
                <w:sz w:val="24"/>
                <w:szCs w:val="24"/>
                <w:shd w:val="clear" w:color="auto" w:fill="FFFFFF"/>
                <w:lang w:val="es-ES"/>
              </w:rPr>
              <w:t>papeleo</w:t>
            </w:r>
          </w:p>
        </w:tc>
      </w:tr>
      <w:tr w:rsidR="00406EC3" w:rsidTr="009D2738">
        <w:tc>
          <w:tcPr>
            <w:tcW w:w="1914" w:type="dxa"/>
          </w:tcPr>
          <w:p w:rsidR="00406EC3" w:rsidRDefault="009D2738" w:rsidP="00CD4239">
            <w:pPr>
              <w:tabs>
                <w:tab w:val="left" w:pos="0"/>
                <w:tab w:val="left" w:pos="284"/>
              </w:tabs>
              <w:jc w:val="center"/>
              <w:rPr>
                <w:rFonts w:cs="Times New Roman"/>
                <w:sz w:val="24"/>
                <w:szCs w:val="24"/>
                <w:shd w:val="clear" w:color="auto" w:fill="FFFFFF"/>
                <w:lang w:val="es-ES"/>
              </w:rPr>
            </w:pPr>
            <w:r w:rsidRPr="009D2738">
              <w:rPr>
                <w:rFonts w:cs="Times New Roman"/>
                <w:sz w:val="24"/>
                <w:szCs w:val="24"/>
                <w:shd w:val="clear" w:color="auto" w:fill="FFFFFF"/>
                <w:lang w:val="es-ES"/>
              </w:rPr>
              <w:t>Periodo de ejecución</w:t>
            </w:r>
          </w:p>
        </w:tc>
        <w:tc>
          <w:tcPr>
            <w:tcW w:w="1914" w:type="dxa"/>
            <w:vAlign w:val="center"/>
          </w:tcPr>
          <w:p w:rsidR="00406EC3" w:rsidRPr="009D2738" w:rsidRDefault="009D2738" w:rsidP="009D2738">
            <w:pPr>
              <w:tabs>
                <w:tab w:val="left" w:pos="0"/>
                <w:tab w:val="left" w:pos="284"/>
              </w:tabs>
              <w:jc w:val="center"/>
              <w:rPr>
                <w:rFonts w:cs="Times New Roman"/>
                <w:sz w:val="24"/>
                <w:szCs w:val="24"/>
                <w:shd w:val="clear" w:color="auto" w:fill="FFFFFF"/>
              </w:rPr>
            </w:pPr>
            <w:r>
              <w:rPr>
                <w:rFonts w:cs="Times New Roman"/>
                <w:sz w:val="24"/>
                <w:szCs w:val="24"/>
                <w:shd w:val="clear" w:color="auto" w:fill="FFFFFF"/>
                <w:lang w:val="es-ES"/>
              </w:rPr>
              <w:t>15</w:t>
            </w:r>
            <w:r>
              <w:rPr>
                <w:rFonts w:cs="Times New Roman"/>
                <w:sz w:val="24"/>
                <w:szCs w:val="24"/>
                <w:shd w:val="clear" w:color="auto" w:fill="FFFFFF"/>
              </w:rPr>
              <w:t>/01/2021</w:t>
            </w:r>
          </w:p>
        </w:tc>
        <w:tc>
          <w:tcPr>
            <w:tcW w:w="1914" w:type="dxa"/>
            <w:vAlign w:val="center"/>
          </w:tcPr>
          <w:p w:rsidR="00406EC3" w:rsidRDefault="009D2738" w:rsidP="009D2738">
            <w:pPr>
              <w:tabs>
                <w:tab w:val="left" w:pos="0"/>
                <w:tab w:val="left" w:pos="284"/>
              </w:tabs>
              <w:jc w:val="center"/>
              <w:rPr>
                <w:rFonts w:cs="Times New Roman"/>
                <w:sz w:val="24"/>
                <w:szCs w:val="24"/>
                <w:shd w:val="clear" w:color="auto" w:fill="FFFFFF"/>
                <w:lang w:val="es-ES"/>
              </w:rPr>
            </w:pPr>
            <w:r>
              <w:rPr>
                <w:rFonts w:cs="Times New Roman"/>
                <w:sz w:val="24"/>
                <w:szCs w:val="24"/>
                <w:shd w:val="clear" w:color="auto" w:fill="FFFFFF"/>
                <w:lang w:val="es-ES"/>
              </w:rPr>
              <w:t>15</w:t>
            </w:r>
            <w:r>
              <w:rPr>
                <w:rFonts w:cs="Times New Roman"/>
                <w:sz w:val="24"/>
                <w:szCs w:val="24"/>
                <w:shd w:val="clear" w:color="auto" w:fill="FFFFFF"/>
              </w:rPr>
              <w:t>/03/2021</w:t>
            </w:r>
          </w:p>
        </w:tc>
        <w:tc>
          <w:tcPr>
            <w:tcW w:w="1914" w:type="dxa"/>
            <w:vAlign w:val="center"/>
          </w:tcPr>
          <w:p w:rsidR="00406EC3" w:rsidRDefault="009D2738" w:rsidP="009D2738">
            <w:pPr>
              <w:tabs>
                <w:tab w:val="left" w:pos="0"/>
                <w:tab w:val="left" w:pos="284"/>
              </w:tabs>
              <w:jc w:val="center"/>
              <w:rPr>
                <w:rFonts w:cs="Times New Roman"/>
                <w:sz w:val="24"/>
                <w:szCs w:val="24"/>
                <w:shd w:val="clear" w:color="auto" w:fill="FFFFFF"/>
                <w:lang w:val="es-ES"/>
              </w:rPr>
            </w:pPr>
            <w:r>
              <w:rPr>
                <w:rFonts w:cs="Times New Roman"/>
                <w:sz w:val="24"/>
                <w:szCs w:val="24"/>
                <w:shd w:val="clear" w:color="auto" w:fill="FFFFFF"/>
              </w:rPr>
              <w:t>30/04/2021</w:t>
            </w:r>
          </w:p>
        </w:tc>
        <w:tc>
          <w:tcPr>
            <w:tcW w:w="1915" w:type="dxa"/>
            <w:vAlign w:val="center"/>
          </w:tcPr>
          <w:p w:rsidR="00406EC3" w:rsidRPr="009D2738" w:rsidRDefault="009D2738" w:rsidP="009D2738">
            <w:pPr>
              <w:tabs>
                <w:tab w:val="left" w:pos="0"/>
                <w:tab w:val="left" w:pos="284"/>
              </w:tabs>
              <w:jc w:val="center"/>
              <w:rPr>
                <w:rFonts w:cs="Times New Roman"/>
                <w:sz w:val="24"/>
                <w:szCs w:val="24"/>
                <w:shd w:val="clear" w:color="auto" w:fill="FFFFFF"/>
              </w:rPr>
            </w:pPr>
            <w:r>
              <w:rPr>
                <w:rFonts w:cs="Times New Roman"/>
                <w:sz w:val="24"/>
                <w:szCs w:val="24"/>
                <w:shd w:val="clear" w:color="auto" w:fill="FFFFFF"/>
              </w:rPr>
              <w:t>31/05/2021</w:t>
            </w:r>
          </w:p>
        </w:tc>
      </w:tr>
    </w:tbl>
    <w:p w:rsidR="00BE137F" w:rsidRPr="00BE137F" w:rsidRDefault="00BE137F" w:rsidP="009D2738">
      <w:pPr>
        <w:shd w:val="clear" w:color="auto" w:fill="FFFFFF"/>
        <w:tabs>
          <w:tab w:val="left" w:pos="0"/>
          <w:tab w:val="left" w:pos="284"/>
        </w:tabs>
        <w:spacing w:after="0" w:line="360" w:lineRule="auto"/>
        <w:rPr>
          <w:rFonts w:cs="Times New Roman"/>
          <w:sz w:val="24"/>
          <w:szCs w:val="24"/>
          <w:shd w:val="clear" w:color="auto" w:fill="FFFFFF"/>
          <w:lang w:val="es-ES"/>
        </w:rPr>
      </w:pPr>
    </w:p>
    <w:sectPr w:rsidR="00BE137F" w:rsidRPr="00BE137F" w:rsidSect="009D2738">
      <w:headerReference w:type="default" r:id="rId11"/>
      <w:footerReference w:type="default" r:id="rId12"/>
      <w:pgSz w:w="11906" w:h="16838" w:code="9"/>
      <w:pgMar w:top="1077" w:right="851" w:bottom="1077"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69D" w:rsidRDefault="0047469D" w:rsidP="00640CBD">
      <w:pPr>
        <w:spacing w:after="0" w:line="240" w:lineRule="auto"/>
      </w:pPr>
      <w:r>
        <w:separator/>
      </w:r>
    </w:p>
  </w:endnote>
  <w:endnote w:type="continuationSeparator" w:id="0">
    <w:p w:rsidR="0047469D" w:rsidRDefault="0047469D" w:rsidP="0064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936548"/>
      <w:docPartObj>
        <w:docPartGallery w:val="Page Numbers (Bottom of Page)"/>
        <w:docPartUnique/>
      </w:docPartObj>
    </w:sdtPr>
    <w:sdtEndPr/>
    <w:sdtContent>
      <w:p w:rsidR="001900BC" w:rsidRDefault="001900BC">
        <w:pPr>
          <w:pStyle w:val="aa"/>
          <w:jc w:val="center"/>
        </w:pPr>
        <w:r>
          <w:fldChar w:fldCharType="begin"/>
        </w:r>
        <w:r>
          <w:instrText>PAGE   \* MERGEFORMAT</w:instrText>
        </w:r>
        <w:r>
          <w:fldChar w:fldCharType="separate"/>
        </w:r>
        <w:r w:rsidR="00F5796C">
          <w:rPr>
            <w:noProof/>
          </w:rPr>
          <w:t>15</w:t>
        </w:r>
        <w:r>
          <w:fldChar w:fldCharType="end"/>
        </w:r>
      </w:p>
    </w:sdtContent>
  </w:sdt>
  <w:p w:rsidR="001900BC" w:rsidRDefault="001900B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69D" w:rsidRDefault="0047469D" w:rsidP="00640CBD">
      <w:pPr>
        <w:spacing w:after="0" w:line="240" w:lineRule="auto"/>
      </w:pPr>
      <w:r>
        <w:separator/>
      </w:r>
    </w:p>
  </w:footnote>
  <w:footnote w:type="continuationSeparator" w:id="0">
    <w:p w:rsidR="0047469D" w:rsidRDefault="0047469D" w:rsidP="00640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0BC" w:rsidRPr="00F33FD3" w:rsidRDefault="001900BC">
    <w:pPr>
      <w:pStyle w:val="a8"/>
      <w:rPr>
        <w:lang w:val="es-ES"/>
      </w:rPr>
    </w:pPr>
    <w:r w:rsidRPr="001900BC">
      <w:rPr>
        <w:lang w:val="es-ES"/>
      </w:rPr>
      <w:t xml:space="preserve">Almazova Luiza, </w:t>
    </w:r>
    <w:hyperlink r:id="rId1" w:history="1">
      <w:r w:rsidRPr="001900BC">
        <w:rPr>
          <w:rStyle w:val="ac"/>
          <w:lang w:val="es-ES"/>
        </w:rPr>
        <w:t>AlmazovaLM@mail.ru</w:t>
      </w:r>
    </w:hyperlink>
    <w:r w:rsidRPr="001900BC">
      <w:rPr>
        <w:lang w:val="es-ES"/>
      </w:rPr>
      <w:t xml:space="preserve">, </w:t>
    </w:r>
    <w:r w:rsidR="006A37B5">
      <w:rPr>
        <w:lang w:val="es-ES"/>
      </w:rPr>
      <w:t>m</w:t>
    </w:r>
    <w:r w:rsidR="00F33FD3" w:rsidRPr="00F33FD3">
      <w:rPr>
        <w:lang w:val="es-ES"/>
      </w:rPr>
      <w:t>3</w:t>
    </w:r>
    <w:r w:rsidR="000159B9" w:rsidRPr="000159B9">
      <w:rPr>
        <w:lang w:val="es-ES"/>
      </w:rPr>
      <w:t>Proyecto</w:t>
    </w:r>
    <w:r w:rsidR="00F5796C">
      <w:rPr>
        <w:lang w:val="es-ES"/>
      </w:rPr>
      <w:t>TFM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673D"/>
    <w:multiLevelType w:val="hybridMultilevel"/>
    <w:tmpl w:val="236A181A"/>
    <w:lvl w:ilvl="0" w:tplc="72161392">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F712C"/>
    <w:multiLevelType w:val="hybridMultilevel"/>
    <w:tmpl w:val="B9183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27721"/>
    <w:multiLevelType w:val="hybridMultilevel"/>
    <w:tmpl w:val="AA5884CA"/>
    <w:lvl w:ilvl="0" w:tplc="AA225AC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4F7D13"/>
    <w:multiLevelType w:val="hybridMultilevel"/>
    <w:tmpl w:val="3F00528C"/>
    <w:lvl w:ilvl="0" w:tplc="2D0C6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AC64EC"/>
    <w:multiLevelType w:val="hybridMultilevel"/>
    <w:tmpl w:val="D3FACCD0"/>
    <w:lvl w:ilvl="0" w:tplc="B2EA5E66">
      <w:start w:val="1"/>
      <w:numFmt w:val="lowerLetter"/>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4F432E"/>
    <w:multiLevelType w:val="hybridMultilevel"/>
    <w:tmpl w:val="2C90F6F2"/>
    <w:lvl w:ilvl="0" w:tplc="AEA0C5C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670024"/>
    <w:multiLevelType w:val="hybridMultilevel"/>
    <w:tmpl w:val="1BF25D54"/>
    <w:lvl w:ilvl="0" w:tplc="347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2A19CD"/>
    <w:multiLevelType w:val="multilevel"/>
    <w:tmpl w:val="11D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01B69"/>
    <w:multiLevelType w:val="multilevel"/>
    <w:tmpl w:val="3CBE9296"/>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6D4480F"/>
    <w:multiLevelType w:val="hybridMultilevel"/>
    <w:tmpl w:val="FC98DC8E"/>
    <w:lvl w:ilvl="0" w:tplc="F460CED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3400E0"/>
    <w:multiLevelType w:val="hybridMultilevel"/>
    <w:tmpl w:val="F362AFB4"/>
    <w:lvl w:ilvl="0" w:tplc="CE729D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C80A42"/>
    <w:multiLevelType w:val="hybridMultilevel"/>
    <w:tmpl w:val="8F36706A"/>
    <w:lvl w:ilvl="0" w:tplc="6D1C3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B5127F"/>
    <w:multiLevelType w:val="hybridMultilevel"/>
    <w:tmpl w:val="24B6AD6A"/>
    <w:lvl w:ilvl="0" w:tplc="A04292B8">
      <w:start w:val="7"/>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AED7A01"/>
    <w:multiLevelType w:val="hybridMultilevel"/>
    <w:tmpl w:val="A80E8CB4"/>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5D5D67"/>
    <w:multiLevelType w:val="hybridMultilevel"/>
    <w:tmpl w:val="5A6439E0"/>
    <w:lvl w:ilvl="0" w:tplc="B4908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3008B1"/>
    <w:multiLevelType w:val="hybridMultilevel"/>
    <w:tmpl w:val="A64AE14A"/>
    <w:lvl w:ilvl="0" w:tplc="6296714A">
      <w:start w:val="1"/>
      <w:numFmt w:val="lowerLetter"/>
      <w:lvlText w:val="%1)"/>
      <w:lvlJc w:val="left"/>
      <w:pPr>
        <w:ind w:left="1069" w:hanging="360"/>
      </w:pPr>
      <w:rPr>
        <w:rFonts w:cstheme="minorBid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263BA1"/>
    <w:multiLevelType w:val="hybridMultilevel"/>
    <w:tmpl w:val="C228EE5A"/>
    <w:lvl w:ilvl="0" w:tplc="9BAEC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C70549C"/>
    <w:multiLevelType w:val="hybridMultilevel"/>
    <w:tmpl w:val="6804C728"/>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C179A2"/>
    <w:multiLevelType w:val="hybridMultilevel"/>
    <w:tmpl w:val="41EA15DE"/>
    <w:lvl w:ilvl="0" w:tplc="3894E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EE7F69"/>
    <w:multiLevelType w:val="hybridMultilevel"/>
    <w:tmpl w:val="F29E3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8A661A"/>
    <w:multiLevelType w:val="hybridMultilevel"/>
    <w:tmpl w:val="C0BC63F6"/>
    <w:lvl w:ilvl="0" w:tplc="F2B2165A">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3C34AF"/>
    <w:multiLevelType w:val="hybridMultilevel"/>
    <w:tmpl w:val="9A06502C"/>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D934EC6"/>
    <w:multiLevelType w:val="hybridMultilevel"/>
    <w:tmpl w:val="A8BEF038"/>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920150"/>
    <w:multiLevelType w:val="hybridMultilevel"/>
    <w:tmpl w:val="23666796"/>
    <w:lvl w:ilvl="0" w:tplc="2D0C6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3343DB"/>
    <w:multiLevelType w:val="hybridMultilevel"/>
    <w:tmpl w:val="5FC47C0E"/>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4226C89"/>
    <w:multiLevelType w:val="hybridMultilevel"/>
    <w:tmpl w:val="3BA81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5B2991"/>
    <w:multiLevelType w:val="hybridMultilevel"/>
    <w:tmpl w:val="79C28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1F06E8"/>
    <w:multiLevelType w:val="hybridMultilevel"/>
    <w:tmpl w:val="79064548"/>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9524334"/>
    <w:multiLevelType w:val="hybridMultilevel"/>
    <w:tmpl w:val="2B5843E4"/>
    <w:lvl w:ilvl="0" w:tplc="2D0C6F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9924CC8"/>
    <w:multiLevelType w:val="hybridMultilevel"/>
    <w:tmpl w:val="B094D2C6"/>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CD642C"/>
    <w:multiLevelType w:val="hybridMultilevel"/>
    <w:tmpl w:val="67EC3780"/>
    <w:lvl w:ilvl="0" w:tplc="00FC30CC">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FE1C53"/>
    <w:multiLevelType w:val="multilevel"/>
    <w:tmpl w:val="8B6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105CB5"/>
    <w:multiLevelType w:val="hybridMultilevel"/>
    <w:tmpl w:val="1A1299A4"/>
    <w:lvl w:ilvl="0" w:tplc="CEFE8B8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12F5ED7"/>
    <w:multiLevelType w:val="hybridMultilevel"/>
    <w:tmpl w:val="0C4049FE"/>
    <w:lvl w:ilvl="0" w:tplc="FACE4D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7B6D8A"/>
    <w:multiLevelType w:val="hybridMultilevel"/>
    <w:tmpl w:val="397A46EE"/>
    <w:lvl w:ilvl="0" w:tplc="0FA4552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63634CC"/>
    <w:multiLevelType w:val="hybridMultilevel"/>
    <w:tmpl w:val="D2FA7E92"/>
    <w:lvl w:ilvl="0" w:tplc="E076C486">
      <w:start w:val="1"/>
      <w:numFmt w:val="decimal"/>
      <w:lvlText w:val="%1."/>
      <w:lvlJc w:val="left"/>
      <w:pPr>
        <w:ind w:left="1068" w:hanging="360"/>
      </w:pPr>
      <w:rPr>
        <w:rFonts w:asciiTheme="minorHAnsi" w:hAnsi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7E974A0"/>
    <w:multiLevelType w:val="hybridMultilevel"/>
    <w:tmpl w:val="D9402BC6"/>
    <w:lvl w:ilvl="0" w:tplc="2D0C6F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A5E4430"/>
    <w:multiLevelType w:val="hybridMultilevel"/>
    <w:tmpl w:val="381E4F3A"/>
    <w:lvl w:ilvl="0" w:tplc="2D0C6F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C040003"/>
    <w:multiLevelType w:val="hybridMultilevel"/>
    <w:tmpl w:val="0ED42D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383136"/>
    <w:multiLevelType w:val="hybridMultilevel"/>
    <w:tmpl w:val="6E06488C"/>
    <w:lvl w:ilvl="0" w:tplc="84CE4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E986715"/>
    <w:multiLevelType w:val="hybridMultilevel"/>
    <w:tmpl w:val="94865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3"/>
  </w:num>
  <w:num w:numId="3">
    <w:abstractNumId w:val="17"/>
  </w:num>
  <w:num w:numId="4">
    <w:abstractNumId w:val="27"/>
  </w:num>
  <w:num w:numId="5">
    <w:abstractNumId w:val="25"/>
  </w:num>
  <w:num w:numId="6">
    <w:abstractNumId w:val="24"/>
  </w:num>
  <w:num w:numId="7">
    <w:abstractNumId w:val="22"/>
  </w:num>
  <w:num w:numId="8">
    <w:abstractNumId w:val="21"/>
  </w:num>
  <w:num w:numId="9">
    <w:abstractNumId w:val="39"/>
  </w:num>
  <w:num w:numId="10">
    <w:abstractNumId w:val="26"/>
  </w:num>
  <w:num w:numId="11">
    <w:abstractNumId w:val="11"/>
  </w:num>
  <w:num w:numId="12">
    <w:abstractNumId w:val="7"/>
  </w:num>
  <w:num w:numId="13">
    <w:abstractNumId w:val="31"/>
  </w:num>
  <w:num w:numId="14">
    <w:abstractNumId w:val="36"/>
  </w:num>
  <w:num w:numId="15">
    <w:abstractNumId w:val="3"/>
  </w:num>
  <w:num w:numId="16">
    <w:abstractNumId w:val="16"/>
  </w:num>
  <w:num w:numId="17">
    <w:abstractNumId w:val="29"/>
  </w:num>
  <w:num w:numId="18">
    <w:abstractNumId w:val="32"/>
  </w:num>
  <w:num w:numId="19">
    <w:abstractNumId w:val="18"/>
  </w:num>
  <w:num w:numId="20">
    <w:abstractNumId w:val="37"/>
  </w:num>
  <w:num w:numId="21">
    <w:abstractNumId w:val="28"/>
  </w:num>
  <w:num w:numId="22">
    <w:abstractNumId w:val="14"/>
  </w:num>
  <w:num w:numId="23">
    <w:abstractNumId w:val="38"/>
  </w:num>
  <w:num w:numId="24">
    <w:abstractNumId w:val="6"/>
  </w:num>
  <w:num w:numId="25">
    <w:abstractNumId w:val="15"/>
  </w:num>
  <w:num w:numId="26">
    <w:abstractNumId w:val="5"/>
  </w:num>
  <w:num w:numId="27">
    <w:abstractNumId w:val="13"/>
  </w:num>
  <w:num w:numId="28">
    <w:abstractNumId w:val="30"/>
  </w:num>
  <w:num w:numId="29">
    <w:abstractNumId w:val="34"/>
  </w:num>
  <w:num w:numId="30">
    <w:abstractNumId w:val="4"/>
  </w:num>
  <w:num w:numId="31">
    <w:abstractNumId w:val="2"/>
  </w:num>
  <w:num w:numId="32">
    <w:abstractNumId w:val="10"/>
  </w:num>
  <w:num w:numId="33">
    <w:abstractNumId w:val="40"/>
  </w:num>
  <w:num w:numId="34">
    <w:abstractNumId w:val="20"/>
  </w:num>
  <w:num w:numId="35">
    <w:abstractNumId w:val="0"/>
  </w:num>
  <w:num w:numId="36">
    <w:abstractNumId w:val="9"/>
  </w:num>
  <w:num w:numId="37">
    <w:abstractNumId w:val="12"/>
  </w:num>
  <w:num w:numId="38">
    <w:abstractNumId w:val="8"/>
  </w:num>
  <w:num w:numId="39">
    <w:abstractNumId w:val="23"/>
  </w:num>
  <w:num w:numId="40">
    <w:abstractNumId w:val="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1A"/>
    <w:rsid w:val="0000049A"/>
    <w:rsid w:val="00001949"/>
    <w:rsid w:val="0000453C"/>
    <w:rsid w:val="000056F4"/>
    <w:rsid w:val="0000760D"/>
    <w:rsid w:val="00007E24"/>
    <w:rsid w:val="0001277B"/>
    <w:rsid w:val="000141CF"/>
    <w:rsid w:val="000159B9"/>
    <w:rsid w:val="00020872"/>
    <w:rsid w:val="000245F4"/>
    <w:rsid w:val="000261DC"/>
    <w:rsid w:val="00031DEE"/>
    <w:rsid w:val="00032464"/>
    <w:rsid w:val="00033D01"/>
    <w:rsid w:val="000471E7"/>
    <w:rsid w:val="000526EE"/>
    <w:rsid w:val="000531E4"/>
    <w:rsid w:val="000618AA"/>
    <w:rsid w:val="00063DD6"/>
    <w:rsid w:val="000679A6"/>
    <w:rsid w:val="000737D2"/>
    <w:rsid w:val="0007591F"/>
    <w:rsid w:val="000769A3"/>
    <w:rsid w:val="000816F1"/>
    <w:rsid w:val="0008456F"/>
    <w:rsid w:val="0008463F"/>
    <w:rsid w:val="000871C5"/>
    <w:rsid w:val="00090660"/>
    <w:rsid w:val="00093E97"/>
    <w:rsid w:val="0009467C"/>
    <w:rsid w:val="00097A63"/>
    <w:rsid w:val="000A1DB7"/>
    <w:rsid w:val="000A45A5"/>
    <w:rsid w:val="000A740D"/>
    <w:rsid w:val="000B2EC4"/>
    <w:rsid w:val="000B2EDF"/>
    <w:rsid w:val="000B373C"/>
    <w:rsid w:val="000B67A1"/>
    <w:rsid w:val="000B6DCE"/>
    <w:rsid w:val="000B7550"/>
    <w:rsid w:val="000C360F"/>
    <w:rsid w:val="000D6285"/>
    <w:rsid w:val="000D67F5"/>
    <w:rsid w:val="000E7E9D"/>
    <w:rsid w:val="000F06ED"/>
    <w:rsid w:val="000F577E"/>
    <w:rsid w:val="00100BD4"/>
    <w:rsid w:val="00100E01"/>
    <w:rsid w:val="00101B12"/>
    <w:rsid w:val="00103CC9"/>
    <w:rsid w:val="00104C57"/>
    <w:rsid w:val="00104CC3"/>
    <w:rsid w:val="00105AB7"/>
    <w:rsid w:val="00110899"/>
    <w:rsid w:val="001152B4"/>
    <w:rsid w:val="00115F2D"/>
    <w:rsid w:val="00126335"/>
    <w:rsid w:val="00137851"/>
    <w:rsid w:val="00140618"/>
    <w:rsid w:val="00142047"/>
    <w:rsid w:val="001426CB"/>
    <w:rsid w:val="00142D6E"/>
    <w:rsid w:val="00145986"/>
    <w:rsid w:val="00145B12"/>
    <w:rsid w:val="001508E8"/>
    <w:rsid w:val="00151CDC"/>
    <w:rsid w:val="00153F74"/>
    <w:rsid w:val="00155A64"/>
    <w:rsid w:val="00157F1C"/>
    <w:rsid w:val="001623DA"/>
    <w:rsid w:val="001651EA"/>
    <w:rsid w:val="00165BBA"/>
    <w:rsid w:val="0016645D"/>
    <w:rsid w:val="00167817"/>
    <w:rsid w:val="00174AA7"/>
    <w:rsid w:val="001756EA"/>
    <w:rsid w:val="00182C32"/>
    <w:rsid w:val="001842E7"/>
    <w:rsid w:val="00185EFF"/>
    <w:rsid w:val="0018620F"/>
    <w:rsid w:val="001900BC"/>
    <w:rsid w:val="0019239C"/>
    <w:rsid w:val="00196935"/>
    <w:rsid w:val="001A04B1"/>
    <w:rsid w:val="001A09FD"/>
    <w:rsid w:val="001A0FD9"/>
    <w:rsid w:val="001A14D0"/>
    <w:rsid w:val="001A5FC5"/>
    <w:rsid w:val="001A71C0"/>
    <w:rsid w:val="001A76C9"/>
    <w:rsid w:val="001B043C"/>
    <w:rsid w:val="001B1B70"/>
    <w:rsid w:val="001B21E0"/>
    <w:rsid w:val="001B64C9"/>
    <w:rsid w:val="001B7031"/>
    <w:rsid w:val="001B7163"/>
    <w:rsid w:val="001C49A5"/>
    <w:rsid w:val="001D0970"/>
    <w:rsid w:val="001D132D"/>
    <w:rsid w:val="001D191F"/>
    <w:rsid w:val="001D1C12"/>
    <w:rsid w:val="001D315A"/>
    <w:rsid w:val="001D4A84"/>
    <w:rsid w:val="001D675D"/>
    <w:rsid w:val="001E4B81"/>
    <w:rsid w:val="001F17A5"/>
    <w:rsid w:val="001F50A7"/>
    <w:rsid w:val="001F6766"/>
    <w:rsid w:val="00200EF0"/>
    <w:rsid w:val="002027B8"/>
    <w:rsid w:val="00204780"/>
    <w:rsid w:val="0020650B"/>
    <w:rsid w:val="00211CA6"/>
    <w:rsid w:val="00223A6E"/>
    <w:rsid w:val="00226029"/>
    <w:rsid w:val="00227930"/>
    <w:rsid w:val="002279FA"/>
    <w:rsid w:val="00231709"/>
    <w:rsid w:val="00232FE1"/>
    <w:rsid w:val="0023310D"/>
    <w:rsid w:val="002333A7"/>
    <w:rsid w:val="002406D3"/>
    <w:rsid w:val="00244CCB"/>
    <w:rsid w:val="00246EA6"/>
    <w:rsid w:val="002472A7"/>
    <w:rsid w:val="0025406C"/>
    <w:rsid w:val="00254355"/>
    <w:rsid w:val="00255E50"/>
    <w:rsid w:val="00260317"/>
    <w:rsid w:val="00263AE7"/>
    <w:rsid w:val="00263EF6"/>
    <w:rsid w:val="00265767"/>
    <w:rsid w:val="00270B77"/>
    <w:rsid w:val="0027165B"/>
    <w:rsid w:val="00275F44"/>
    <w:rsid w:val="00281937"/>
    <w:rsid w:val="00286B55"/>
    <w:rsid w:val="00295466"/>
    <w:rsid w:val="002A06B4"/>
    <w:rsid w:val="002A23DB"/>
    <w:rsid w:val="002A401C"/>
    <w:rsid w:val="002A5F1B"/>
    <w:rsid w:val="002A7391"/>
    <w:rsid w:val="002A7547"/>
    <w:rsid w:val="002B772E"/>
    <w:rsid w:val="002C312D"/>
    <w:rsid w:val="002C4900"/>
    <w:rsid w:val="002D2D62"/>
    <w:rsid w:val="002D5A30"/>
    <w:rsid w:val="002D6F91"/>
    <w:rsid w:val="002E0D55"/>
    <w:rsid w:val="002E3D2F"/>
    <w:rsid w:val="002E4349"/>
    <w:rsid w:val="002E78FB"/>
    <w:rsid w:val="002F0142"/>
    <w:rsid w:val="002F0ABE"/>
    <w:rsid w:val="002F3269"/>
    <w:rsid w:val="002F55FD"/>
    <w:rsid w:val="002F5A1B"/>
    <w:rsid w:val="0030457E"/>
    <w:rsid w:val="003114CC"/>
    <w:rsid w:val="00315391"/>
    <w:rsid w:val="00316E0D"/>
    <w:rsid w:val="00316EAE"/>
    <w:rsid w:val="003216F5"/>
    <w:rsid w:val="0032642A"/>
    <w:rsid w:val="00326A92"/>
    <w:rsid w:val="00330477"/>
    <w:rsid w:val="00336DA3"/>
    <w:rsid w:val="003371D7"/>
    <w:rsid w:val="003405A6"/>
    <w:rsid w:val="0034317C"/>
    <w:rsid w:val="0034450B"/>
    <w:rsid w:val="00346834"/>
    <w:rsid w:val="003547C6"/>
    <w:rsid w:val="0035670E"/>
    <w:rsid w:val="003726DD"/>
    <w:rsid w:val="00374A1F"/>
    <w:rsid w:val="00381CF3"/>
    <w:rsid w:val="003837A3"/>
    <w:rsid w:val="003856EE"/>
    <w:rsid w:val="003857A2"/>
    <w:rsid w:val="003862BC"/>
    <w:rsid w:val="00392916"/>
    <w:rsid w:val="00395FF4"/>
    <w:rsid w:val="00396241"/>
    <w:rsid w:val="003977D8"/>
    <w:rsid w:val="003A0DD0"/>
    <w:rsid w:val="003A2130"/>
    <w:rsid w:val="003A32F7"/>
    <w:rsid w:val="003A3C7D"/>
    <w:rsid w:val="003B1BCC"/>
    <w:rsid w:val="003B464E"/>
    <w:rsid w:val="003B5FF6"/>
    <w:rsid w:val="003C1141"/>
    <w:rsid w:val="003C41AA"/>
    <w:rsid w:val="003C631C"/>
    <w:rsid w:val="003D1DCE"/>
    <w:rsid w:val="003D4F8D"/>
    <w:rsid w:val="003D522F"/>
    <w:rsid w:val="003D5775"/>
    <w:rsid w:val="003D7859"/>
    <w:rsid w:val="003E3DD8"/>
    <w:rsid w:val="003E5C1F"/>
    <w:rsid w:val="003F5F7B"/>
    <w:rsid w:val="0040112A"/>
    <w:rsid w:val="00406EC3"/>
    <w:rsid w:val="00414065"/>
    <w:rsid w:val="0041757A"/>
    <w:rsid w:val="00417E70"/>
    <w:rsid w:val="00423943"/>
    <w:rsid w:val="0043049C"/>
    <w:rsid w:val="0043220C"/>
    <w:rsid w:val="00437281"/>
    <w:rsid w:val="004378E2"/>
    <w:rsid w:val="0044630D"/>
    <w:rsid w:val="00463D8A"/>
    <w:rsid w:val="004658AC"/>
    <w:rsid w:val="00466D64"/>
    <w:rsid w:val="004673F0"/>
    <w:rsid w:val="00471EA4"/>
    <w:rsid w:val="00472438"/>
    <w:rsid w:val="004738DF"/>
    <w:rsid w:val="0047469D"/>
    <w:rsid w:val="00486009"/>
    <w:rsid w:val="00495C6B"/>
    <w:rsid w:val="004B07B2"/>
    <w:rsid w:val="004B1756"/>
    <w:rsid w:val="004B4A8A"/>
    <w:rsid w:val="004B69C3"/>
    <w:rsid w:val="004B7CB7"/>
    <w:rsid w:val="004C0A49"/>
    <w:rsid w:val="004C6627"/>
    <w:rsid w:val="004D1F35"/>
    <w:rsid w:val="004D3F55"/>
    <w:rsid w:val="004E06D1"/>
    <w:rsid w:val="004E1D13"/>
    <w:rsid w:val="004E6CE3"/>
    <w:rsid w:val="004E6DD9"/>
    <w:rsid w:val="004F76A4"/>
    <w:rsid w:val="005015ED"/>
    <w:rsid w:val="005062A3"/>
    <w:rsid w:val="00510B5A"/>
    <w:rsid w:val="00516073"/>
    <w:rsid w:val="00517DD5"/>
    <w:rsid w:val="00520E01"/>
    <w:rsid w:val="00521C07"/>
    <w:rsid w:val="00527836"/>
    <w:rsid w:val="0053592F"/>
    <w:rsid w:val="00536D5E"/>
    <w:rsid w:val="00536EF7"/>
    <w:rsid w:val="005401AF"/>
    <w:rsid w:val="00542201"/>
    <w:rsid w:val="00542720"/>
    <w:rsid w:val="0054351A"/>
    <w:rsid w:val="0055113C"/>
    <w:rsid w:val="0055497B"/>
    <w:rsid w:val="0056058E"/>
    <w:rsid w:val="00577160"/>
    <w:rsid w:val="0058539C"/>
    <w:rsid w:val="00593FEA"/>
    <w:rsid w:val="0059402C"/>
    <w:rsid w:val="00594804"/>
    <w:rsid w:val="00595E41"/>
    <w:rsid w:val="005976C7"/>
    <w:rsid w:val="005A07F2"/>
    <w:rsid w:val="005A2FC2"/>
    <w:rsid w:val="005A4A12"/>
    <w:rsid w:val="005A55DE"/>
    <w:rsid w:val="005A7DEB"/>
    <w:rsid w:val="005B0A4B"/>
    <w:rsid w:val="005B1846"/>
    <w:rsid w:val="005B3906"/>
    <w:rsid w:val="005B56E9"/>
    <w:rsid w:val="005C1180"/>
    <w:rsid w:val="005C37B0"/>
    <w:rsid w:val="005C3E11"/>
    <w:rsid w:val="005C48CA"/>
    <w:rsid w:val="005C5C9C"/>
    <w:rsid w:val="005E4982"/>
    <w:rsid w:val="005F5C5D"/>
    <w:rsid w:val="005F6CB8"/>
    <w:rsid w:val="0060170A"/>
    <w:rsid w:val="00601A20"/>
    <w:rsid w:val="0060666B"/>
    <w:rsid w:val="0060718C"/>
    <w:rsid w:val="00607242"/>
    <w:rsid w:val="0060779F"/>
    <w:rsid w:val="00610014"/>
    <w:rsid w:val="00614658"/>
    <w:rsid w:val="006147C4"/>
    <w:rsid w:val="00615E4F"/>
    <w:rsid w:val="00620D74"/>
    <w:rsid w:val="006210F0"/>
    <w:rsid w:val="00630902"/>
    <w:rsid w:val="00630E59"/>
    <w:rsid w:val="0063743F"/>
    <w:rsid w:val="00640CBD"/>
    <w:rsid w:val="00642246"/>
    <w:rsid w:val="00642E36"/>
    <w:rsid w:val="00643DE2"/>
    <w:rsid w:val="0064516B"/>
    <w:rsid w:val="00645A8F"/>
    <w:rsid w:val="00652144"/>
    <w:rsid w:val="00671BD0"/>
    <w:rsid w:val="00673951"/>
    <w:rsid w:val="00677F2E"/>
    <w:rsid w:val="00682CBA"/>
    <w:rsid w:val="00682D93"/>
    <w:rsid w:val="006845EE"/>
    <w:rsid w:val="00685311"/>
    <w:rsid w:val="00686B79"/>
    <w:rsid w:val="0068784E"/>
    <w:rsid w:val="00690AC9"/>
    <w:rsid w:val="006955A3"/>
    <w:rsid w:val="00697ECB"/>
    <w:rsid w:val="006A37B5"/>
    <w:rsid w:val="006A3D44"/>
    <w:rsid w:val="006A4BC5"/>
    <w:rsid w:val="006A7AAC"/>
    <w:rsid w:val="006B2349"/>
    <w:rsid w:val="006B6C17"/>
    <w:rsid w:val="006B7499"/>
    <w:rsid w:val="006C003D"/>
    <w:rsid w:val="006C0C25"/>
    <w:rsid w:val="006C49CB"/>
    <w:rsid w:val="006C5400"/>
    <w:rsid w:val="006C74AA"/>
    <w:rsid w:val="006D193E"/>
    <w:rsid w:val="006D2561"/>
    <w:rsid w:val="006D474C"/>
    <w:rsid w:val="006D5434"/>
    <w:rsid w:val="006D7515"/>
    <w:rsid w:val="006D7900"/>
    <w:rsid w:val="006E06EE"/>
    <w:rsid w:val="006E16C1"/>
    <w:rsid w:val="006E3183"/>
    <w:rsid w:val="006E507C"/>
    <w:rsid w:val="006E5267"/>
    <w:rsid w:val="006E61A6"/>
    <w:rsid w:val="006F10CA"/>
    <w:rsid w:val="006F4D44"/>
    <w:rsid w:val="006F5DA1"/>
    <w:rsid w:val="007001D9"/>
    <w:rsid w:val="007019DE"/>
    <w:rsid w:val="00702481"/>
    <w:rsid w:val="0070399D"/>
    <w:rsid w:val="00704613"/>
    <w:rsid w:val="00706086"/>
    <w:rsid w:val="00707613"/>
    <w:rsid w:val="00710AC1"/>
    <w:rsid w:val="0071151A"/>
    <w:rsid w:val="00716266"/>
    <w:rsid w:val="0072153C"/>
    <w:rsid w:val="00721F46"/>
    <w:rsid w:val="0072201A"/>
    <w:rsid w:val="00726E9A"/>
    <w:rsid w:val="00733884"/>
    <w:rsid w:val="00740116"/>
    <w:rsid w:val="00747100"/>
    <w:rsid w:val="00747C38"/>
    <w:rsid w:val="007605F7"/>
    <w:rsid w:val="007628EF"/>
    <w:rsid w:val="00764B4B"/>
    <w:rsid w:val="00770748"/>
    <w:rsid w:val="0077398C"/>
    <w:rsid w:val="0077413A"/>
    <w:rsid w:val="00775759"/>
    <w:rsid w:val="0077621A"/>
    <w:rsid w:val="00780403"/>
    <w:rsid w:val="0078071D"/>
    <w:rsid w:val="00781447"/>
    <w:rsid w:val="00783231"/>
    <w:rsid w:val="00787E78"/>
    <w:rsid w:val="007936B3"/>
    <w:rsid w:val="0079510F"/>
    <w:rsid w:val="007A0ACF"/>
    <w:rsid w:val="007A0E21"/>
    <w:rsid w:val="007A4B7A"/>
    <w:rsid w:val="007A63DC"/>
    <w:rsid w:val="007B3526"/>
    <w:rsid w:val="007B412A"/>
    <w:rsid w:val="007B43A8"/>
    <w:rsid w:val="007B619A"/>
    <w:rsid w:val="007C160A"/>
    <w:rsid w:val="007D4ED0"/>
    <w:rsid w:val="007D5BBC"/>
    <w:rsid w:val="007D716B"/>
    <w:rsid w:val="007E362D"/>
    <w:rsid w:val="007F1BC1"/>
    <w:rsid w:val="007F1DB9"/>
    <w:rsid w:val="007F2B15"/>
    <w:rsid w:val="007F3039"/>
    <w:rsid w:val="007F5470"/>
    <w:rsid w:val="007F6E7C"/>
    <w:rsid w:val="00802BDF"/>
    <w:rsid w:val="00804C32"/>
    <w:rsid w:val="0081172F"/>
    <w:rsid w:val="00811769"/>
    <w:rsid w:val="008171D6"/>
    <w:rsid w:val="00817B23"/>
    <w:rsid w:val="00821166"/>
    <w:rsid w:val="00821425"/>
    <w:rsid w:val="008346B3"/>
    <w:rsid w:val="00836067"/>
    <w:rsid w:val="0084520B"/>
    <w:rsid w:val="0084672B"/>
    <w:rsid w:val="008470ED"/>
    <w:rsid w:val="00851976"/>
    <w:rsid w:val="00870169"/>
    <w:rsid w:val="00871741"/>
    <w:rsid w:val="008734D8"/>
    <w:rsid w:val="008747AC"/>
    <w:rsid w:val="00876AAC"/>
    <w:rsid w:val="00877755"/>
    <w:rsid w:val="008778DC"/>
    <w:rsid w:val="00877BA1"/>
    <w:rsid w:val="008920AB"/>
    <w:rsid w:val="00892502"/>
    <w:rsid w:val="00897068"/>
    <w:rsid w:val="008A08E1"/>
    <w:rsid w:val="008A3CD3"/>
    <w:rsid w:val="008A5F95"/>
    <w:rsid w:val="008A6D2F"/>
    <w:rsid w:val="008B4FD3"/>
    <w:rsid w:val="008B716A"/>
    <w:rsid w:val="008C11A6"/>
    <w:rsid w:val="008C6A18"/>
    <w:rsid w:val="008D031C"/>
    <w:rsid w:val="008D7AD9"/>
    <w:rsid w:val="008E0E45"/>
    <w:rsid w:val="008E114B"/>
    <w:rsid w:val="008E4859"/>
    <w:rsid w:val="008E7D33"/>
    <w:rsid w:val="009004C1"/>
    <w:rsid w:val="00901DE5"/>
    <w:rsid w:val="0090364B"/>
    <w:rsid w:val="00904088"/>
    <w:rsid w:val="0091311F"/>
    <w:rsid w:val="0091511B"/>
    <w:rsid w:val="009151D7"/>
    <w:rsid w:val="00922D12"/>
    <w:rsid w:val="00926B32"/>
    <w:rsid w:val="0093096F"/>
    <w:rsid w:val="00930EB4"/>
    <w:rsid w:val="00936534"/>
    <w:rsid w:val="00936CBD"/>
    <w:rsid w:val="0093742B"/>
    <w:rsid w:val="00946328"/>
    <w:rsid w:val="009468BE"/>
    <w:rsid w:val="009478C4"/>
    <w:rsid w:val="00952B82"/>
    <w:rsid w:val="00954AF0"/>
    <w:rsid w:val="009619CA"/>
    <w:rsid w:val="00965E3F"/>
    <w:rsid w:val="009670C2"/>
    <w:rsid w:val="00972DF2"/>
    <w:rsid w:val="00975173"/>
    <w:rsid w:val="00980AA2"/>
    <w:rsid w:val="0098137A"/>
    <w:rsid w:val="00987A66"/>
    <w:rsid w:val="00993F22"/>
    <w:rsid w:val="00994621"/>
    <w:rsid w:val="00994863"/>
    <w:rsid w:val="00994EA2"/>
    <w:rsid w:val="00996034"/>
    <w:rsid w:val="009977B9"/>
    <w:rsid w:val="00997B35"/>
    <w:rsid w:val="009A003E"/>
    <w:rsid w:val="009A6713"/>
    <w:rsid w:val="009B280E"/>
    <w:rsid w:val="009B35BE"/>
    <w:rsid w:val="009B7508"/>
    <w:rsid w:val="009C1E97"/>
    <w:rsid w:val="009C4CEC"/>
    <w:rsid w:val="009C5037"/>
    <w:rsid w:val="009C779D"/>
    <w:rsid w:val="009D2738"/>
    <w:rsid w:val="009D2AB8"/>
    <w:rsid w:val="009D415D"/>
    <w:rsid w:val="009D6517"/>
    <w:rsid w:val="009D7919"/>
    <w:rsid w:val="009E17BE"/>
    <w:rsid w:val="009E3547"/>
    <w:rsid w:val="009E5BAB"/>
    <w:rsid w:val="009E5DE1"/>
    <w:rsid w:val="009E63CF"/>
    <w:rsid w:val="00A00349"/>
    <w:rsid w:val="00A02936"/>
    <w:rsid w:val="00A0467A"/>
    <w:rsid w:val="00A05BDC"/>
    <w:rsid w:val="00A061CB"/>
    <w:rsid w:val="00A065B7"/>
    <w:rsid w:val="00A075D0"/>
    <w:rsid w:val="00A1120C"/>
    <w:rsid w:val="00A1282C"/>
    <w:rsid w:val="00A157A1"/>
    <w:rsid w:val="00A16B7E"/>
    <w:rsid w:val="00A20E14"/>
    <w:rsid w:val="00A2394F"/>
    <w:rsid w:val="00A242DF"/>
    <w:rsid w:val="00A246A4"/>
    <w:rsid w:val="00A253E3"/>
    <w:rsid w:val="00A259CE"/>
    <w:rsid w:val="00A25AE5"/>
    <w:rsid w:val="00A3055D"/>
    <w:rsid w:val="00A30909"/>
    <w:rsid w:val="00A3102D"/>
    <w:rsid w:val="00A34C2F"/>
    <w:rsid w:val="00A3539F"/>
    <w:rsid w:val="00A3633C"/>
    <w:rsid w:val="00A43EC0"/>
    <w:rsid w:val="00A43F34"/>
    <w:rsid w:val="00A5063A"/>
    <w:rsid w:val="00A535D7"/>
    <w:rsid w:val="00A6409F"/>
    <w:rsid w:val="00A64102"/>
    <w:rsid w:val="00A6443E"/>
    <w:rsid w:val="00A719B9"/>
    <w:rsid w:val="00A72BD8"/>
    <w:rsid w:val="00A731C2"/>
    <w:rsid w:val="00A73983"/>
    <w:rsid w:val="00A77B44"/>
    <w:rsid w:val="00A77D08"/>
    <w:rsid w:val="00A77EA1"/>
    <w:rsid w:val="00A8126F"/>
    <w:rsid w:val="00A86075"/>
    <w:rsid w:val="00A868E1"/>
    <w:rsid w:val="00A90593"/>
    <w:rsid w:val="00A92052"/>
    <w:rsid w:val="00A96E65"/>
    <w:rsid w:val="00AA47EA"/>
    <w:rsid w:val="00AA78C8"/>
    <w:rsid w:val="00AB6400"/>
    <w:rsid w:val="00AB7A45"/>
    <w:rsid w:val="00AC13D2"/>
    <w:rsid w:val="00AC30A2"/>
    <w:rsid w:val="00AC69C7"/>
    <w:rsid w:val="00AC7EB9"/>
    <w:rsid w:val="00AD0701"/>
    <w:rsid w:val="00AD07FD"/>
    <w:rsid w:val="00AD11FB"/>
    <w:rsid w:val="00AD4A7A"/>
    <w:rsid w:val="00AE0706"/>
    <w:rsid w:val="00AE251F"/>
    <w:rsid w:val="00AF4B69"/>
    <w:rsid w:val="00B00923"/>
    <w:rsid w:val="00B01F6E"/>
    <w:rsid w:val="00B10369"/>
    <w:rsid w:val="00B125D0"/>
    <w:rsid w:val="00B2337D"/>
    <w:rsid w:val="00B26744"/>
    <w:rsid w:val="00B33866"/>
    <w:rsid w:val="00B35FBC"/>
    <w:rsid w:val="00B47C76"/>
    <w:rsid w:val="00B50BCA"/>
    <w:rsid w:val="00B60649"/>
    <w:rsid w:val="00B62802"/>
    <w:rsid w:val="00B703D2"/>
    <w:rsid w:val="00B706F0"/>
    <w:rsid w:val="00B7319F"/>
    <w:rsid w:val="00B74A06"/>
    <w:rsid w:val="00B80D79"/>
    <w:rsid w:val="00B839F1"/>
    <w:rsid w:val="00B84D4A"/>
    <w:rsid w:val="00B85604"/>
    <w:rsid w:val="00B90DD6"/>
    <w:rsid w:val="00B922DF"/>
    <w:rsid w:val="00BA1918"/>
    <w:rsid w:val="00BA5453"/>
    <w:rsid w:val="00BB0116"/>
    <w:rsid w:val="00BC3F19"/>
    <w:rsid w:val="00BC4BFF"/>
    <w:rsid w:val="00BC4E93"/>
    <w:rsid w:val="00BD6488"/>
    <w:rsid w:val="00BD7098"/>
    <w:rsid w:val="00BE137F"/>
    <w:rsid w:val="00BE5472"/>
    <w:rsid w:val="00BF261B"/>
    <w:rsid w:val="00C00F57"/>
    <w:rsid w:val="00C01151"/>
    <w:rsid w:val="00C04D15"/>
    <w:rsid w:val="00C05E35"/>
    <w:rsid w:val="00C142A3"/>
    <w:rsid w:val="00C14E08"/>
    <w:rsid w:val="00C15277"/>
    <w:rsid w:val="00C275E0"/>
    <w:rsid w:val="00C40B90"/>
    <w:rsid w:val="00C42A06"/>
    <w:rsid w:val="00C44A02"/>
    <w:rsid w:val="00C50624"/>
    <w:rsid w:val="00C50B8C"/>
    <w:rsid w:val="00C5246B"/>
    <w:rsid w:val="00C5332A"/>
    <w:rsid w:val="00C54FA2"/>
    <w:rsid w:val="00C60770"/>
    <w:rsid w:val="00C62A4E"/>
    <w:rsid w:val="00C6348F"/>
    <w:rsid w:val="00C64B61"/>
    <w:rsid w:val="00C65E0C"/>
    <w:rsid w:val="00C75ACD"/>
    <w:rsid w:val="00C80A79"/>
    <w:rsid w:val="00C80F41"/>
    <w:rsid w:val="00C839E8"/>
    <w:rsid w:val="00C90A7A"/>
    <w:rsid w:val="00C922C6"/>
    <w:rsid w:val="00C949C7"/>
    <w:rsid w:val="00C951BA"/>
    <w:rsid w:val="00CA1543"/>
    <w:rsid w:val="00CA278F"/>
    <w:rsid w:val="00CA5CD6"/>
    <w:rsid w:val="00CA6563"/>
    <w:rsid w:val="00CB0683"/>
    <w:rsid w:val="00CB0D8A"/>
    <w:rsid w:val="00CC05E5"/>
    <w:rsid w:val="00CC2CBD"/>
    <w:rsid w:val="00CC3CB3"/>
    <w:rsid w:val="00CC3F2C"/>
    <w:rsid w:val="00CD2194"/>
    <w:rsid w:val="00CD4239"/>
    <w:rsid w:val="00CD4D6A"/>
    <w:rsid w:val="00CD6A1F"/>
    <w:rsid w:val="00CD7C83"/>
    <w:rsid w:val="00CE0208"/>
    <w:rsid w:val="00CE4D05"/>
    <w:rsid w:val="00CF4893"/>
    <w:rsid w:val="00CF6AD7"/>
    <w:rsid w:val="00CF7F19"/>
    <w:rsid w:val="00D112C9"/>
    <w:rsid w:val="00D13122"/>
    <w:rsid w:val="00D143EE"/>
    <w:rsid w:val="00D21116"/>
    <w:rsid w:val="00D2399E"/>
    <w:rsid w:val="00D31507"/>
    <w:rsid w:val="00D31B46"/>
    <w:rsid w:val="00D36E55"/>
    <w:rsid w:val="00D5156A"/>
    <w:rsid w:val="00D53431"/>
    <w:rsid w:val="00D62ADB"/>
    <w:rsid w:val="00D632D7"/>
    <w:rsid w:val="00D7166A"/>
    <w:rsid w:val="00D7175D"/>
    <w:rsid w:val="00D71B5C"/>
    <w:rsid w:val="00D73B87"/>
    <w:rsid w:val="00D73F3C"/>
    <w:rsid w:val="00D74B84"/>
    <w:rsid w:val="00D8026D"/>
    <w:rsid w:val="00D80915"/>
    <w:rsid w:val="00D8127B"/>
    <w:rsid w:val="00D817D8"/>
    <w:rsid w:val="00D81F4A"/>
    <w:rsid w:val="00D82BC1"/>
    <w:rsid w:val="00D83731"/>
    <w:rsid w:val="00D856F7"/>
    <w:rsid w:val="00D92DBF"/>
    <w:rsid w:val="00DA1266"/>
    <w:rsid w:val="00DA3D1E"/>
    <w:rsid w:val="00DA597E"/>
    <w:rsid w:val="00DB01D0"/>
    <w:rsid w:val="00DB426F"/>
    <w:rsid w:val="00DC0597"/>
    <w:rsid w:val="00DC4364"/>
    <w:rsid w:val="00DC461A"/>
    <w:rsid w:val="00DC51BF"/>
    <w:rsid w:val="00DC5280"/>
    <w:rsid w:val="00DC629B"/>
    <w:rsid w:val="00DD5A71"/>
    <w:rsid w:val="00DD5BB6"/>
    <w:rsid w:val="00DE28D2"/>
    <w:rsid w:val="00DE54C8"/>
    <w:rsid w:val="00DE6FDB"/>
    <w:rsid w:val="00DE70DD"/>
    <w:rsid w:val="00DF0349"/>
    <w:rsid w:val="00DF20D9"/>
    <w:rsid w:val="00DF5BF0"/>
    <w:rsid w:val="00E04F47"/>
    <w:rsid w:val="00E062E6"/>
    <w:rsid w:val="00E12C39"/>
    <w:rsid w:val="00E179EA"/>
    <w:rsid w:val="00E17A17"/>
    <w:rsid w:val="00E17E86"/>
    <w:rsid w:val="00E30A93"/>
    <w:rsid w:val="00E3654E"/>
    <w:rsid w:val="00E36AAA"/>
    <w:rsid w:val="00E424F1"/>
    <w:rsid w:val="00E536E3"/>
    <w:rsid w:val="00E60BF2"/>
    <w:rsid w:val="00E621D3"/>
    <w:rsid w:val="00E6236E"/>
    <w:rsid w:val="00E62744"/>
    <w:rsid w:val="00E63601"/>
    <w:rsid w:val="00E6649D"/>
    <w:rsid w:val="00E6725B"/>
    <w:rsid w:val="00E70A4A"/>
    <w:rsid w:val="00E70F20"/>
    <w:rsid w:val="00E75C7A"/>
    <w:rsid w:val="00E77416"/>
    <w:rsid w:val="00E810DB"/>
    <w:rsid w:val="00E84CE4"/>
    <w:rsid w:val="00E863E2"/>
    <w:rsid w:val="00E92C0A"/>
    <w:rsid w:val="00E947A0"/>
    <w:rsid w:val="00E94B90"/>
    <w:rsid w:val="00E9694D"/>
    <w:rsid w:val="00E9708E"/>
    <w:rsid w:val="00EA22BC"/>
    <w:rsid w:val="00EA45B9"/>
    <w:rsid w:val="00EB065F"/>
    <w:rsid w:val="00EB0A81"/>
    <w:rsid w:val="00EB2430"/>
    <w:rsid w:val="00EC2D88"/>
    <w:rsid w:val="00EC4C67"/>
    <w:rsid w:val="00ED07AB"/>
    <w:rsid w:val="00EE5AD1"/>
    <w:rsid w:val="00EE60AE"/>
    <w:rsid w:val="00EE7FEF"/>
    <w:rsid w:val="00EF456E"/>
    <w:rsid w:val="00EF57D9"/>
    <w:rsid w:val="00F0159C"/>
    <w:rsid w:val="00F064F6"/>
    <w:rsid w:val="00F1073A"/>
    <w:rsid w:val="00F10BC6"/>
    <w:rsid w:val="00F14B3D"/>
    <w:rsid w:val="00F16B41"/>
    <w:rsid w:val="00F3268A"/>
    <w:rsid w:val="00F33FD3"/>
    <w:rsid w:val="00F36E6B"/>
    <w:rsid w:val="00F42A06"/>
    <w:rsid w:val="00F433DF"/>
    <w:rsid w:val="00F43765"/>
    <w:rsid w:val="00F4514A"/>
    <w:rsid w:val="00F46073"/>
    <w:rsid w:val="00F47534"/>
    <w:rsid w:val="00F51CF5"/>
    <w:rsid w:val="00F54266"/>
    <w:rsid w:val="00F55258"/>
    <w:rsid w:val="00F5796C"/>
    <w:rsid w:val="00F6250D"/>
    <w:rsid w:val="00F63060"/>
    <w:rsid w:val="00F64601"/>
    <w:rsid w:val="00F67278"/>
    <w:rsid w:val="00F75870"/>
    <w:rsid w:val="00F773DD"/>
    <w:rsid w:val="00F81AA1"/>
    <w:rsid w:val="00F91D73"/>
    <w:rsid w:val="00F9449F"/>
    <w:rsid w:val="00F94C9A"/>
    <w:rsid w:val="00F95ED1"/>
    <w:rsid w:val="00F96385"/>
    <w:rsid w:val="00FA0722"/>
    <w:rsid w:val="00FA362C"/>
    <w:rsid w:val="00FA48F5"/>
    <w:rsid w:val="00FC1BF6"/>
    <w:rsid w:val="00FC2C0E"/>
    <w:rsid w:val="00FC75BD"/>
    <w:rsid w:val="00FD13C7"/>
    <w:rsid w:val="00FD1737"/>
    <w:rsid w:val="00FD44F3"/>
    <w:rsid w:val="00FF0289"/>
    <w:rsid w:val="00FF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93"/>
    <w:pPr>
      <w:jc w:val="both"/>
    </w:pPr>
    <w:rPr>
      <w:rFonts w:ascii="Times New Roman" w:eastAsiaTheme="minorEastAsia" w:hAnsi="Times New Roman"/>
      <w:sz w:val="28"/>
      <w:lang w:eastAsia="ru-RU"/>
    </w:rPr>
  </w:style>
  <w:style w:type="paragraph" w:styleId="1">
    <w:name w:val="heading 1"/>
    <w:basedOn w:val="a"/>
    <w:link w:val="10"/>
    <w:autoRedefine/>
    <w:uiPriority w:val="9"/>
    <w:qFormat/>
    <w:rsid w:val="00090660"/>
    <w:pPr>
      <w:spacing w:before="100" w:beforeAutospacing="1" w:after="100" w:afterAutospacing="1" w:line="360" w:lineRule="auto"/>
      <w:jc w:val="center"/>
      <w:outlineLvl w:val="0"/>
    </w:pPr>
    <w:rPr>
      <w:rFonts w:eastAsiaTheme="minorHAnsi" w:cs="Times New Roman"/>
      <w:b/>
      <w:bCs/>
      <w:kern w:val="36"/>
      <w:szCs w:val="48"/>
    </w:rPr>
  </w:style>
  <w:style w:type="paragraph" w:styleId="2">
    <w:name w:val="heading 2"/>
    <w:basedOn w:val="a"/>
    <w:next w:val="a"/>
    <w:link w:val="20"/>
    <w:autoRedefine/>
    <w:uiPriority w:val="9"/>
    <w:unhideWhenUsed/>
    <w:qFormat/>
    <w:rsid w:val="00A90593"/>
    <w:pPr>
      <w:keepNext/>
      <w:keepLines/>
      <w:spacing w:after="0" w:line="360" w:lineRule="auto"/>
      <w:contextualSpacing/>
      <w:jc w:val="center"/>
      <w:outlineLvl w:val="1"/>
    </w:pPr>
    <w:rPr>
      <w:rFonts w:eastAsiaTheme="majorEastAsia" w:cstheme="majorBidi"/>
      <w:b/>
      <w:bCs/>
      <w:color w:val="000000" w:themeColor="text1"/>
      <w:szCs w:val="26"/>
    </w:rPr>
  </w:style>
  <w:style w:type="paragraph" w:styleId="3">
    <w:name w:val="heading 3"/>
    <w:basedOn w:val="a"/>
    <w:next w:val="a"/>
    <w:link w:val="30"/>
    <w:autoRedefine/>
    <w:uiPriority w:val="9"/>
    <w:unhideWhenUsed/>
    <w:qFormat/>
    <w:rsid w:val="00A90593"/>
    <w:pPr>
      <w:keepNext/>
      <w:keepLines/>
      <w:spacing w:before="200" w:after="0"/>
      <w:jc w:val="center"/>
      <w:outlineLvl w:val="2"/>
    </w:pPr>
    <w:rPr>
      <w:rFonts w:eastAsiaTheme="majorEastAsia" w:cstheme="majorBidi"/>
      <w:bCs/>
      <w:color w:val="000000" w:themeColor="tex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0593"/>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sid w:val="00A90593"/>
    <w:rPr>
      <w:rFonts w:ascii="Times New Roman" w:eastAsiaTheme="majorEastAsia" w:hAnsi="Times New Roman" w:cstheme="majorBidi"/>
      <w:bCs/>
      <w:color w:val="000000" w:themeColor="text1"/>
      <w:sz w:val="28"/>
    </w:rPr>
  </w:style>
  <w:style w:type="character" w:customStyle="1" w:styleId="10">
    <w:name w:val="Заголовок 1 Знак"/>
    <w:basedOn w:val="a0"/>
    <w:link w:val="1"/>
    <w:uiPriority w:val="9"/>
    <w:rsid w:val="00090660"/>
    <w:rPr>
      <w:rFonts w:ascii="Times New Roman" w:hAnsi="Times New Roman" w:cs="Times New Roman"/>
      <w:b/>
      <w:bCs/>
      <w:kern w:val="36"/>
      <w:sz w:val="28"/>
      <w:szCs w:val="48"/>
      <w:lang w:eastAsia="ru-RU"/>
    </w:rPr>
  </w:style>
  <w:style w:type="character" w:styleId="a3">
    <w:name w:val="Placeholder Text"/>
    <w:basedOn w:val="a0"/>
    <w:uiPriority w:val="99"/>
    <w:semiHidden/>
    <w:rsid w:val="00775759"/>
    <w:rPr>
      <w:color w:val="808080"/>
    </w:rPr>
  </w:style>
  <w:style w:type="paragraph" w:styleId="a4">
    <w:name w:val="Balloon Text"/>
    <w:basedOn w:val="a"/>
    <w:link w:val="a5"/>
    <w:uiPriority w:val="99"/>
    <w:semiHidden/>
    <w:unhideWhenUsed/>
    <w:rsid w:val="00775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759"/>
    <w:rPr>
      <w:rFonts w:ascii="Tahoma" w:eastAsiaTheme="minorEastAsia" w:hAnsi="Tahoma" w:cs="Tahoma"/>
      <w:sz w:val="16"/>
      <w:szCs w:val="16"/>
      <w:lang w:eastAsia="ru-RU"/>
    </w:rPr>
  </w:style>
  <w:style w:type="paragraph" w:customStyle="1" w:styleId="Default">
    <w:name w:val="Default"/>
    <w:rsid w:val="00C15277"/>
    <w:pPr>
      <w:autoSpaceDE w:val="0"/>
      <w:autoSpaceDN w:val="0"/>
      <w:adjustRightInd w:val="0"/>
      <w:spacing w:after="0" w:line="240" w:lineRule="auto"/>
    </w:pPr>
    <w:rPr>
      <w:rFonts w:ascii="Cambria" w:hAnsi="Cambria" w:cs="Cambria"/>
      <w:color w:val="000000"/>
      <w:sz w:val="24"/>
      <w:szCs w:val="24"/>
    </w:rPr>
  </w:style>
  <w:style w:type="table" w:styleId="a6">
    <w:name w:val="Table Grid"/>
    <w:basedOn w:val="a1"/>
    <w:uiPriority w:val="59"/>
    <w:rsid w:val="00AE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B426F"/>
    <w:pPr>
      <w:ind w:left="720"/>
      <w:contextualSpacing/>
    </w:pPr>
  </w:style>
  <w:style w:type="paragraph" w:styleId="a8">
    <w:name w:val="header"/>
    <w:basedOn w:val="a"/>
    <w:link w:val="a9"/>
    <w:unhideWhenUsed/>
    <w:rsid w:val="00640CBD"/>
    <w:pPr>
      <w:tabs>
        <w:tab w:val="center" w:pos="4677"/>
        <w:tab w:val="right" w:pos="9355"/>
      </w:tabs>
      <w:spacing w:after="0" w:line="240" w:lineRule="auto"/>
    </w:pPr>
  </w:style>
  <w:style w:type="character" w:customStyle="1" w:styleId="a9">
    <w:name w:val="Верхний колонтитул Знак"/>
    <w:basedOn w:val="a0"/>
    <w:link w:val="a8"/>
    <w:rsid w:val="00640CBD"/>
    <w:rPr>
      <w:rFonts w:ascii="Times New Roman" w:eastAsiaTheme="minorEastAsia" w:hAnsi="Times New Roman"/>
      <w:sz w:val="28"/>
      <w:lang w:eastAsia="ru-RU"/>
    </w:rPr>
  </w:style>
  <w:style w:type="paragraph" w:styleId="aa">
    <w:name w:val="footer"/>
    <w:basedOn w:val="a"/>
    <w:link w:val="ab"/>
    <w:uiPriority w:val="99"/>
    <w:unhideWhenUsed/>
    <w:rsid w:val="00640C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0CBD"/>
    <w:rPr>
      <w:rFonts w:ascii="Times New Roman" w:eastAsiaTheme="minorEastAsia" w:hAnsi="Times New Roman"/>
      <w:sz w:val="28"/>
      <w:lang w:eastAsia="ru-RU"/>
    </w:rPr>
  </w:style>
  <w:style w:type="character" w:customStyle="1" w:styleId="notranslate">
    <w:name w:val="notranslate"/>
    <w:basedOn w:val="a0"/>
    <w:rsid w:val="001C49A5"/>
  </w:style>
  <w:style w:type="character" w:styleId="ac">
    <w:name w:val="Hyperlink"/>
    <w:basedOn w:val="a0"/>
    <w:uiPriority w:val="99"/>
    <w:unhideWhenUsed/>
    <w:rsid w:val="00510B5A"/>
    <w:rPr>
      <w:color w:val="0000FF"/>
      <w:u w:val="single"/>
    </w:rPr>
  </w:style>
  <w:style w:type="character" w:styleId="ad">
    <w:name w:val="Strong"/>
    <w:basedOn w:val="a0"/>
    <w:uiPriority w:val="22"/>
    <w:qFormat/>
    <w:rsid w:val="00A43EC0"/>
    <w:rPr>
      <w:b/>
      <w:bCs/>
    </w:rPr>
  </w:style>
  <w:style w:type="paragraph" w:styleId="ae">
    <w:name w:val="Normal (Web)"/>
    <w:basedOn w:val="a"/>
    <w:uiPriority w:val="99"/>
    <w:unhideWhenUsed/>
    <w:rsid w:val="00A34C2F"/>
    <w:pPr>
      <w:spacing w:before="100" w:beforeAutospacing="1" w:after="100" w:afterAutospacing="1" w:line="240" w:lineRule="auto"/>
      <w:jc w:val="left"/>
    </w:pPr>
    <w:rPr>
      <w:rFonts w:eastAsia="Times New Roman" w:cs="Times New Roman"/>
      <w:sz w:val="24"/>
      <w:szCs w:val="24"/>
    </w:rPr>
  </w:style>
  <w:style w:type="paragraph" w:styleId="af">
    <w:name w:val="endnote text"/>
    <w:basedOn w:val="a"/>
    <w:link w:val="af0"/>
    <w:uiPriority w:val="99"/>
    <w:semiHidden/>
    <w:unhideWhenUsed/>
    <w:rsid w:val="00CF4893"/>
    <w:pPr>
      <w:spacing w:after="0" w:line="240" w:lineRule="auto"/>
    </w:pPr>
    <w:rPr>
      <w:sz w:val="20"/>
      <w:szCs w:val="20"/>
    </w:rPr>
  </w:style>
  <w:style w:type="character" w:customStyle="1" w:styleId="af0">
    <w:name w:val="Текст концевой сноски Знак"/>
    <w:basedOn w:val="a0"/>
    <w:link w:val="af"/>
    <w:uiPriority w:val="99"/>
    <w:semiHidden/>
    <w:rsid w:val="00CF4893"/>
    <w:rPr>
      <w:rFonts w:ascii="Times New Roman" w:eastAsiaTheme="minorEastAsia" w:hAnsi="Times New Roman"/>
      <w:sz w:val="20"/>
      <w:szCs w:val="20"/>
      <w:lang w:eastAsia="ru-RU"/>
    </w:rPr>
  </w:style>
  <w:style w:type="character" w:styleId="af1">
    <w:name w:val="endnote reference"/>
    <w:basedOn w:val="a0"/>
    <w:uiPriority w:val="99"/>
    <w:semiHidden/>
    <w:unhideWhenUsed/>
    <w:rsid w:val="00CF4893"/>
    <w:rPr>
      <w:vertAlign w:val="superscript"/>
    </w:rPr>
  </w:style>
  <w:style w:type="character" w:customStyle="1" w:styleId="fw600">
    <w:name w:val="fw(600)"/>
    <w:basedOn w:val="a0"/>
    <w:rsid w:val="00115F2D"/>
  </w:style>
  <w:style w:type="character" w:styleId="af2">
    <w:name w:val="FollowedHyperlink"/>
    <w:basedOn w:val="a0"/>
    <w:uiPriority w:val="99"/>
    <w:semiHidden/>
    <w:unhideWhenUsed/>
    <w:rsid w:val="006D25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93"/>
    <w:pPr>
      <w:jc w:val="both"/>
    </w:pPr>
    <w:rPr>
      <w:rFonts w:ascii="Times New Roman" w:eastAsiaTheme="minorEastAsia" w:hAnsi="Times New Roman"/>
      <w:sz w:val="28"/>
      <w:lang w:eastAsia="ru-RU"/>
    </w:rPr>
  </w:style>
  <w:style w:type="paragraph" w:styleId="1">
    <w:name w:val="heading 1"/>
    <w:basedOn w:val="a"/>
    <w:link w:val="10"/>
    <w:autoRedefine/>
    <w:uiPriority w:val="9"/>
    <w:qFormat/>
    <w:rsid w:val="00090660"/>
    <w:pPr>
      <w:spacing w:before="100" w:beforeAutospacing="1" w:after="100" w:afterAutospacing="1" w:line="360" w:lineRule="auto"/>
      <w:jc w:val="center"/>
      <w:outlineLvl w:val="0"/>
    </w:pPr>
    <w:rPr>
      <w:rFonts w:eastAsiaTheme="minorHAnsi" w:cs="Times New Roman"/>
      <w:b/>
      <w:bCs/>
      <w:kern w:val="36"/>
      <w:szCs w:val="48"/>
    </w:rPr>
  </w:style>
  <w:style w:type="paragraph" w:styleId="2">
    <w:name w:val="heading 2"/>
    <w:basedOn w:val="a"/>
    <w:next w:val="a"/>
    <w:link w:val="20"/>
    <w:autoRedefine/>
    <w:uiPriority w:val="9"/>
    <w:unhideWhenUsed/>
    <w:qFormat/>
    <w:rsid w:val="00A90593"/>
    <w:pPr>
      <w:keepNext/>
      <w:keepLines/>
      <w:spacing w:after="0" w:line="360" w:lineRule="auto"/>
      <w:contextualSpacing/>
      <w:jc w:val="center"/>
      <w:outlineLvl w:val="1"/>
    </w:pPr>
    <w:rPr>
      <w:rFonts w:eastAsiaTheme="majorEastAsia" w:cstheme="majorBidi"/>
      <w:b/>
      <w:bCs/>
      <w:color w:val="000000" w:themeColor="text1"/>
      <w:szCs w:val="26"/>
    </w:rPr>
  </w:style>
  <w:style w:type="paragraph" w:styleId="3">
    <w:name w:val="heading 3"/>
    <w:basedOn w:val="a"/>
    <w:next w:val="a"/>
    <w:link w:val="30"/>
    <w:autoRedefine/>
    <w:uiPriority w:val="9"/>
    <w:unhideWhenUsed/>
    <w:qFormat/>
    <w:rsid w:val="00A90593"/>
    <w:pPr>
      <w:keepNext/>
      <w:keepLines/>
      <w:spacing w:before="200" w:after="0"/>
      <w:jc w:val="center"/>
      <w:outlineLvl w:val="2"/>
    </w:pPr>
    <w:rPr>
      <w:rFonts w:eastAsiaTheme="majorEastAsia" w:cstheme="majorBidi"/>
      <w:bCs/>
      <w:color w:val="000000" w:themeColor="tex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0593"/>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sid w:val="00A90593"/>
    <w:rPr>
      <w:rFonts w:ascii="Times New Roman" w:eastAsiaTheme="majorEastAsia" w:hAnsi="Times New Roman" w:cstheme="majorBidi"/>
      <w:bCs/>
      <w:color w:val="000000" w:themeColor="text1"/>
      <w:sz w:val="28"/>
    </w:rPr>
  </w:style>
  <w:style w:type="character" w:customStyle="1" w:styleId="10">
    <w:name w:val="Заголовок 1 Знак"/>
    <w:basedOn w:val="a0"/>
    <w:link w:val="1"/>
    <w:uiPriority w:val="9"/>
    <w:rsid w:val="00090660"/>
    <w:rPr>
      <w:rFonts w:ascii="Times New Roman" w:hAnsi="Times New Roman" w:cs="Times New Roman"/>
      <w:b/>
      <w:bCs/>
      <w:kern w:val="36"/>
      <w:sz w:val="28"/>
      <w:szCs w:val="48"/>
      <w:lang w:eastAsia="ru-RU"/>
    </w:rPr>
  </w:style>
  <w:style w:type="character" w:styleId="a3">
    <w:name w:val="Placeholder Text"/>
    <w:basedOn w:val="a0"/>
    <w:uiPriority w:val="99"/>
    <w:semiHidden/>
    <w:rsid w:val="00775759"/>
    <w:rPr>
      <w:color w:val="808080"/>
    </w:rPr>
  </w:style>
  <w:style w:type="paragraph" w:styleId="a4">
    <w:name w:val="Balloon Text"/>
    <w:basedOn w:val="a"/>
    <w:link w:val="a5"/>
    <w:uiPriority w:val="99"/>
    <w:semiHidden/>
    <w:unhideWhenUsed/>
    <w:rsid w:val="00775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5759"/>
    <w:rPr>
      <w:rFonts w:ascii="Tahoma" w:eastAsiaTheme="minorEastAsia" w:hAnsi="Tahoma" w:cs="Tahoma"/>
      <w:sz w:val="16"/>
      <w:szCs w:val="16"/>
      <w:lang w:eastAsia="ru-RU"/>
    </w:rPr>
  </w:style>
  <w:style w:type="paragraph" w:customStyle="1" w:styleId="Default">
    <w:name w:val="Default"/>
    <w:rsid w:val="00C15277"/>
    <w:pPr>
      <w:autoSpaceDE w:val="0"/>
      <w:autoSpaceDN w:val="0"/>
      <w:adjustRightInd w:val="0"/>
      <w:spacing w:after="0" w:line="240" w:lineRule="auto"/>
    </w:pPr>
    <w:rPr>
      <w:rFonts w:ascii="Cambria" w:hAnsi="Cambria" w:cs="Cambria"/>
      <w:color w:val="000000"/>
      <w:sz w:val="24"/>
      <w:szCs w:val="24"/>
    </w:rPr>
  </w:style>
  <w:style w:type="table" w:styleId="a6">
    <w:name w:val="Table Grid"/>
    <w:basedOn w:val="a1"/>
    <w:uiPriority w:val="59"/>
    <w:rsid w:val="00AE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B426F"/>
    <w:pPr>
      <w:ind w:left="720"/>
      <w:contextualSpacing/>
    </w:pPr>
  </w:style>
  <w:style w:type="paragraph" w:styleId="a8">
    <w:name w:val="header"/>
    <w:basedOn w:val="a"/>
    <w:link w:val="a9"/>
    <w:unhideWhenUsed/>
    <w:rsid w:val="00640CBD"/>
    <w:pPr>
      <w:tabs>
        <w:tab w:val="center" w:pos="4677"/>
        <w:tab w:val="right" w:pos="9355"/>
      </w:tabs>
      <w:spacing w:after="0" w:line="240" w:lineRule="auto"/>
    </w:pPr>
  </w:style>
  <w:style w:type="character" w:customStyle="1" w:styleId="a9">
    <w:name w:val="Верхний колонтитул Знак"/>
    <w:basedOn w:val="a0"/>
    <w:link w:val="a8"/>
    <w:rsid w:val="00640CBD"/>
    <w:rPr>
      <w:rFonts w:ascii="Times New Roman" w:eastAsiaTheme="minorEastAsia" w:hAnsi="Times New Roman"/>
      <w:sz w:val="28"/>
      <w:lang w:eastAsia="ru-RU"/>
    </w:rPr>
  </w:style>
  <w:style w:type="paragraph" w:styleId="aa">
    <w:name w:val="footer"/>
    <w:basedOn w:val="a"/>
    <w:link w:val="ab"/>
    <w:uiPriority w:val="99"/>
    <w:unhideWhenUsed/>
    <w:rsid w:val="00640C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0CBD"/>
    <w:rPr>
      <w:rFonts w:ascii="Times New Roman" w:eastAsiaTheme="minorEastAsia" w:hAnsi="Times New Roman"/>
      <w:sz w:val="28"/>
      <w:lang w:eastAsia="ru-RU"/>
    </w:rPr>
  </w:style>
  <w:style w:type="character" w:customStyle="1" w:styleId="notranslate">
    <w:name w:val="notranslate"/>
    <w:basedOn w:val="a0"/>
    <w:rsid w:val="001C49A5"/>
  </w:style>
  <w:style w:type="character" w:styleId="ac">
    <w:name w:val="Hyperlink"/>
    <w:basedOn w:val="a0"/>
    <w:uiPriority w:val="99"/>
    <w:unhideWhenUsed/>
    <w:rsid w:val="00510B5A"/>
    <w:rPr>
      <w:color w:val="0000FF"/>
      <w:u w:val="single"/>
    </w:rPr>
  </w:style>
  <w:style w:type="character" w:styleId="ad">
    <w:name w:val="Strong"/>
    <w:basedOn w:val="a0"/>
    <w:uiPriority w:val="22"/>
    <w:qFormat/>
    <w:rsid w:val="00A43EC0"/>
    <w:rPr>
      <w:b/>
      <w:bCs/>
    </w:rPr>
  </w:style>
  <w:style w:type="paragraph" w:styleId="ae">
    <w:name w:val="Normal (Web)"/>
    <w:basedOn w:val="a"/>
    <w:uiPriority w:val="99"/>
    <w:unhideWhenUsed/>
    <w:rsid w:val="00A34C2F"/>
    <w:pPr>
      <w:spacing w:before="100" w:beforeAutospacing="1" w:after="100" w:afterAutospacing="1" w:line="240" w:lineRule="auto"/>
      <w:jc w:val="left"/>
    </w:pPr>
    <w:rPr>
      <w:rFonts w:eastAsia="Times New Roman" w:cs="Times New Roman"/>
      <w:sz w:val="24"/>
      <w:szCs w:val="24"/>
    </w:rPr>
  </w:style>
  <w:style w:type="paragraph" w:styleId="af">
    <w:name w:val="endnote text"/>
    <w:basedOn w:val="a"/>
    <w:link w:val="af0"/>
    <w:uiPriority w:val="99"/>
    <w:semiHidden/>
    <w:unhideWhenUsed/>
    <w:rsid w:val="00CF4893"/>
    <w:pPr>
      <w:spacing w:after="0" w:line="240" w:lineRule="auto"/>
    </w:pPr>
    <w:rPr>
      <w:sz w:val="20"/>
      <w:szCs w:val="20"/>
    </w:rPr>
  </w:style>
  <w:style w:type="character" w:customStyle="1" w:styleId="af0">
    <w:name w:val="Текст концевой сноски Знак"/>
    <w:basedOn w:val="a0"/>
    <w:link w:val="af"/>
    <w:uiPriority w:val="99"/>
    <w:semiHidden/>
    <w:rsid w:val="00CF4893"/>
    <w:rPr>
      <w:rFonts w:ascii="Times New Roman" w:eastAsiaTheme="minorEastAsia" w:hAnsi="Times New Roman"/>
      <w:sz w:val="20"/>
      <w:szCs w:val="20"/>
      <w:lang w:eastAsia="ru-RU"/>
    </w:rPr>
  </w:style>
  <w:style w:type="character" w:styleId="af1">
    <w:name w:val="endnote reference"/>
    <w:basedOn w:val="a0"/>
    <w:uiPriority w:val="99"/>
    <w:semiHidden/>
    <w:unhideWhenUsed/>
    <w:rsid w:val="00CF4893"/>
    <w:rPr>
      <w:vertAlign w:val="superscript"/>
    </w:rPr>
  </w:style>
  <w:style w:type="character" w:customStyle="1" w:styleId="fw600">
    <w:name w:val="fw(600)"/>
    <w:basedOn w:val="a0"/>
    <w:rsid w:val="00115F2D"/>
  </w:style>
  <w:style w:type="character" w:styleId="af2">
    <w:name w:val="FollowedHyperlink"/>
    <w:basedOn w:val="a0"/>
    <w:uiPriority w:val="99"/>
    <w:semiHidden/>
    <w:unhideWhenUsed/>
    <w:rsid w:val="006D2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5307">
      <w:bodyDiv w:val="1"/>
      <w:marLeft w:val="0"/>
      <w:marRight w:val="0"/>
      <w:marTop w:val="0"/>
      <w:marBottom w:val="0"/>
      <w:divBdr>
        <w:top w:val="none" w:sz="0" w:space="0" w:color="auto"/>
        <w:left w:val="none" w:sz="0" w:space="0" w:color="auto"/>
        <w:bottom w:val="none" w:sz="0" w:space="0" w:color="auto"/>
        <w:right w:val="none" w:sz="0" w:space="0" w:color="auto"/>
      </w:divBdr>
    </w:div>
    <w:div w:id="797798698">
      <w:bodyDiv w:val="1"/>
      <w:marLeft w:val="0"/>
      <w:marRight w:val="0"/>
      <w:marTop w:val="0"/>
      <w:marBottom w:val="0"/>
      <w:divBdr>
        <w:top w:val="none" w:sz="0" w:space="0" w:color="auto"/>
        <w:left w:val="none" w:sz="0" w:space="0" w:color="auto"/>
        <w:bottom w:val="none" w:sz="0" w:space="0" w:color="auto"/>
        <w:right w:val="none" w:sz="0" w:space="0" w:color="auto"/>
      </w:divBdr>
    </w:div>
    <w:div w:id="800735614">
      <w:bodyDiv w:val="1"/>
      <w:marLeft w:val="0"/>
      <w:marRight w:val="0"/>
      <w:marTop w:val="0"/>
      <w:marBottom w:val="0"/>
      <w:divBdr>
        <w:top w:val="none" w:sz="0" w:space="0" w:color="auto"/>
        <w:left w:val="none" w:sz="0" w:space="0" w:color="auto"/>
        <w:bottom w:val="none" w:sz="0" w:space="0" w:color="auto"/>
        <w:right w:val="none" w:sz="0" w:space="0" w:color="auto"/>
      </w:divBdr>
    </w:div>
    <w:div w:id="825901861">
      <w:bodyDiv w:val="1"/>
      <w:marLeft w:val="0"/>
      <w:marRight w:val="0"/>
      <w:marTop w:val="0"/>
      <w:marBottom w:val="0"/>
      <w:divBdr>
        <w:top w:val="none" w:sz="0" w:space="0" w:color="auto"/>
        <w:left w:val="none" w:sz="0" w:space="0" w:color="auto"/>
        <w:bottom w:val="none" w:sz="0" w:space="0" w:color="auto"/>
        <w:right w:val="none" w:sz="0" w:space="0" w:color="auto"/>
      </w:divBdr>
      <w:divsChild>
        <w:div w:id="741874927">
          <w:marLeft w:val="0"/>
          <w:marRight w:val="0"/>
          <w:marTop w:val="0"/>
          <w:marBottom w:val="0"/>
          <w:divBdr>
            <w:top w:val="none" w:sz="0" w:space="0" w:color="auto"/>
            <w:left w:val="none" w:sz="0" w:space="0" w:color="auto"/>
            <w:bottom w:val="none" w:sz="0" w:space="0" w:color="auto"/>
            <w:right w:val="none" w:sz="0" w:space="0" w:color="auto"/>
          </w:divBdr>
        </w:div>
        <w:div w:id="532772055">
          <w:marLeft w:val="0"/>
          <w:marRight w:val="0"/>
          <w:marTop w:val="0"/>
          <w:marBottom w:val="0"/>
          <w:divBdr>
            <w:top w:val="none" w:sz="0" w:space="0" w:color="auto"/>
            <w:left w:val="none" w:sz="0" w:space="0" w:color="auto"/>
            <w:bottom w:val="none" w:sz="0" w:space="0" w:color="auto"/>
            <w:right w:val="none" w:sz="0" w:space="0" w:color="auto"/>
          </w:divBdr>
        </w:div>
        <w:div w:id="3021548">
          <w:marLeft w:val="0"/>
          <w:marRight w:val="0"/>
          <w:marTop w:val="0"/>
          <w:marBottom w:val="0"/>
          <w:divBdr>
            <w:top w:val="none" w:sz="0" w:space="0" w:color="auto"/>
            <w:left w:val="none" w:sz="0" w:space="0" w:color="auto"/>
            <w:bottom w:val="none" w:sz="0" w:space="0" w:color="auto"/>
            <w:right w:val="none" w:sz="0" w:space="0" w:color="auto"/>
          </w:divBdr>
        </w:div>
        <w:div w:id="1770082644">
          <w:marLeft w:val="0"/>
          <w:marRight w:val="0"/>
          <w:marTop w:val="0"/>
          <w:marBottom w:val="0"/>
          <w:divBdr>
            <w:top w:val="none" w:sz="0" w:space="0" w:color="auto"/>
            <w:left w:val="none" w:sz="0" w:space="0" w:color="auto"/>
            <w:bottom w:val="none" w:sz="0" w:space="0" w:color="auto"/>
            <w:right w:val="none" w:sz="0" w:space="0" w:color="auto"/>
          </w:divBdr>
        </w:div>
        <w:div w:id="803933998">
          <w:marLeft w:val="0"/>
          <w:marRight w:val="0"/>
          <w:marTop w:val="0"/>
          <w:marBottom w:val="0"/>
          <w:divBdr>
            <w:top w:val="none" w:sz="0" w:space="0" w:color="auto"/>
            <w:left w:val="none" w:sz="0" w:space="0" w:color="auto"/>
            <w:bottom w:val="none" w:sz="0" w:space="0" w:color="auto"/>
            <w:right w:val="none" w:sz="0" w:space="0" w:color="auto"/>
          </w:divBdr>
        </w:div>
        <w:div w:id="1917587145">
          <w:marLeft w:val="0"/>
          <w:marRight w:val="0"/>
          <w:marTop w:val="0"/>
          <w:marBottom w:val="0"/>
          <w:divBdr>
            <w:top w:val="none" w:sz="0" w:space="0" w:color="auto"/>
            <w:left w:val="none" w:sz="0" w:space="0" w:color="auto"/>
            <w:bottom w:val="none" w:sz="0" w:space="0" w:color="auto"/>
            <w:right w:val="none" w:sz="0" w:space="0" w:color="auto"/>
          </w:divBdr>
        </w:div>
        <w:div w:id="806632870">
          <w:marLeft w:val="0"/>
          <w:marRight w:val="0"/>
          <w:marTop w:val="0"/>
          <w:marBottom w:val="0"/>
          <w:divBdr>
            <w:top w:val="none" w:sz="0" w:space="0" w:color="auto"/>
            <w:left w:val="none" w:sz="0" w:space="0" w:color="auto"/>
            <w:bottom w:val="none" w:sz="0" w:space="0" w:color="auto"/>
            <w:right w:val="none" w:sz="0" w:space="0" w:color="auto"/>
          </w:divBdr>
        </w:div>
        <w:div w:id="420107222">
          <w:marLeft w:val="0"/>
          <w:marRight w:val="0"/>
          <w:marTop w:val="0"/>
          <w:marBottom w:val="0"/>
          <w:divBdr>
            <w:top w:val="none" w:sz="0" w:space="0" w:color="auto"/>
            <w:left w:val="none" w:sz="0" w:space="0" w:color="auto"/>
            <w:bottom w:val="none" w:sz="0" w:space="0" w:color="auto"/>
            <w:right w:val="none" w:sz="0" w:space="0" w:color="auto"/>
          </w:divBdr>
        </w:div>
        <w:div w:id="1691955854">
          <w:marLeft w:val="0"/>
          <w:marRight w:val="0"/>
          <w:marTop w:val="0"/>
          <w:marBottom w:val="0"/>
          <w:divBdr>
            <w:top w:val="none" w:sz="0" w:space="0" w:color="auto"/>
            <w:left w:val="none" w:sz="0" w:space="0" w:color="auto"/>
            <w:bottom w:val="none" w:sz="0" w:space="0" w:color="auto"/>
            <w:right w:val="none" w:sz="0" w:space="0" w:color="auto"/>
          </w:divBdr>
        </w:div>
        <w:div w:id="274866776">
          <w:marLeft w:val="0"/>
          <w:marRight w:val="0"/>
          <w:marTop w:val="0"/>
          <w:marBottom w:val="0"/>
          <w:divBdr>
            <w:top w:val="none" w:sz="0" w:space="0" w:color="auto"/>
            <w:left w:val="none" w:sz="0" w:space="0" w:color="auto"/>
            <w:bottom w:val="none" w:sz="0" w:space="0" w:color="auto"/>
            <w:right w:val="none" w:sz="0" w:space="0" w:color="auto"/>
          </w:divBdr>
        </w:div>
        <w:div w:id="484204634">
          <w:marLeft w:val="0"/>
          <w:marRight w:val="0"/>
          <w:marTop w:val="0"/>
          <w:marBottom w:val="0"/>
          <w:divBdr>
            <w:top w:val="none" w:sz="0" w:space="0" w:color="auto"/>
            <w:left w:val="none" w:sz="0" w:space="0" w:color="auto"/>
            <w:bottom w:val="none" w:sz="0" w:space="0" w:color="auto"/>
            <w:right w:val="none" w:sz="0" w:space="0" w:color="auto"/>
          </w:divBdr>
        </w:div>
        <w:div w:id="89513">
          <w:marLeft w:val="0"/>
          <w:marRight w:val="0"/>
          <w:marTop w:val="0"/>
          <w:marBottom w:val="0"/>
          <w:divBdr>
            <w:top w:val="none" w:sz="0" w:space="0" w:color="auto"/>
            <w:left w:val="none" w:sz="0" w:space="0" w:color="auto"/>
            <w:bottom w:val="none" w:sz="0" w:space="0" w:color="auto"/>
            <w:right w:val="none" w:sz="0" w:space="0" w:color="auto"/>
          </w:divBdr>
        </w:div>
      </w:divsChild>
    </w:div>
    <w:div w:id="998075163">
      <w:bodyDiv w:val="1"/>
      <w:marLeft w:val="0"/>
      <w:marRight w:val="0"/>
      <w:marTop w:val="0"/>
      <w:marBottom w:val="0"/>
      <w:divBdr>
        <w:top w:val="none" w:sz="0" w:space="0" w:color="auto"/>
        <w:left w:val="none" w:sz="0" w:space="0" w:color="auto"/>
        <w:bottom w:val="none" w:sz="0" w:space="0" w:color="auto"/>
        <w:right w:val="none" w:sz="0" w:space="0" w:color="auto"/>
      </w:divBdr>
    </w:div>
    <w:div w:id="1356954990">
      <w:bodyDiv w:val="1"/>
      <w:marLeft w:val="0"/>
      <w:marRight w:val="0"/>
      <w:marTop w:val="0"/>
      <w:marBottom w:val="0"/>
      <w:divBdr>
        <w:top w:val="none" w:sz="0" w:space="0" w:color="auto"/>
        <w:left w:val="none" w:sz="0" w:space="0" w:color="auto"/>
        <w:bottom w:val="none" w:sz="0" w:space="0" w:color="auto"/>
        <w:right w:val="none" w:sz="0" w:space="0" w:color="auto"/>
      </w:divBdr>
      <w:divsChild>
        <w:div w:id="167139709">
          <w:marLeft w:val="0"/>
          <w:marRight w:val="0"/>
          <w:marTop w:val="0"/>
          <w:marBottom w:val="0"/>
          <w:divBdr>
            <w:top w:val="none" w:sz="0" w:space="0" w:color="auto"/>
            <w:left w:val="none" w:sz="0" w:space="0" w:color="auto"/>
            <w:bottom w:val="none" w:sz="0" w:space="0" w:color="auto"/>
            <w:right w:val="none" w:sz="0" w:space="0" w:color="auto"/>
          </w:divBdr>
          <w:divsChild>
            <w:div w:id="476920586">
              <w:marLeft w:val="0"/>
              <w:marRight w:val="0"/>
              <w:marTop w:val="0"/>
              <w:marBottom w:val="0"/>
              <w:divBdr>
                <w:top w:val="none" w:sz="0" w:space="0" w:color="auto"/>
                <w:left w:val="none" w:sz="0" w:space="0" w:color="auto"/>
                <w:bottom w:val="none" w:sz="0" w:space="0" w:color="auto"/>
                <w:right w:val="none" w:sz="0" w:space="0" w:color="auto"/>
              </w:divBdr>
              <w:divsChild>
                <w:div w:id="7256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4143">
          <w:marLeft w:val="0"/>
          <w:marRight w:val="0"/>
          <w:marTop w:val="0"/>
          <w:marBottom w:val="1050"/>
          <w:divBdr>
            <w:top w:val="none" w:sz="0" w:space="0" w:color="auto"/>
            <w:left w:val="none" w:sz="0" w:space="0" w:color="auto"/>
            <w:bottom w:val="none" w:sz="0" w:space="0" w:color="auto"/>
            <w:right w:val="none" w:sz="0" w:space="0" w:color="auto"/>
          </w:divBdr>
          <w:divsChild>
            <w:div w:id="1672100233">
              <w:marLeft w:val="0"/>
              <w:marRight w:val="0"/>
              <w:marTop w:val="0"/>
              <w:marBottom w:val="0"/>
              <w:divBdr>
                <w:top w:val="none" w:sz="0" w:space="0" w:color="auto"/>
                <w:left w:val="none" w:sz="0" w:space="0" w:color="auto"/>
                <w:bottom w:val="none" w:sz="0" w:space="0" w:color="auto"/>
                <w:right w:val="none" w:sz="0" w:space="0" w:color="auto"/>
              </w:divBdr>
              <w:divsChild>
                <w:div w:id="92492351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1643806128">
      <w:bodyDiv w:val="1"/>
      <w:marLeft w:val="0"/>
      <w:marRight w:val="0"/>
      <w:marTop w:val="0"/>
      <w:marBottom w:val="0"/>
      <w:divBdr>
        <w:top w:val="none" w:sz="0" w:space="0" w:color="auto"/>
        <w:left w:val="none" w:sz="0" w:space="0" w:color="auto"/>
        <w:bottom w:val="none" w:sz="0" w:space="0" w:color="auto"/>
        <w:right w:val="none" w:sz="0" w:space="0" w:color="auto"/>
      </w:divBdr>
    </w:div>
    <w:div w:id="1707563059">
      <w:bodyDiv w:val="1"/>
      <w:marLeft w:val="0"/>
      <w:marRight w:val="0"/>
      <w:marTop w:val="0"/>
      <w:marBottom w:val="0"/>
      <w:divBdr>
        <w:top w:val="none" w:sz="0" w:space="0" w:color="auto"/>
        <w:left w:val="none" w:sz="0" w:space="0" w:color="auto"/>
        <w:bottom w:val="none" w:sz="0" w:space="0" w:color="auto"/>
        <w:right w:val="none" w:sz="0" w:space="0" w:color="auto"/>
      </w:divBdr>
    </w:div>
    <w:div w:id="1718583097">
      <w:bodyDiv w:val="1"/>
      <w:marLeft w:val="0"/>
      <w:marRight w:val="0"/>
      <w:marTop w:val="0"/>
      <w:marBottom w:val="0"/>
      <w:divBdr>
        <w:top w:val="none" w:sz="0" w:space="0" w:color="auto"/>
        <w:left w:val="none" w:sz="0" w:space="0" w:color="auto"/>
        <w:bottom w:val="none" w:sz="0" w:space="0" w:color="auto"/>
        <w:right w:val="none" w:sz="0" w:space="0" w:color="auto"/>
      </w:divBdr>
      <w:divsChild>
        <w:div w:id="1111168436">
          <w:marLeft w:val="0"/>
          <w:marRight w:val="0"/>
          <w:marTop w:val="0"/>
          <w:marBottom w:val="0"/>
          <w:divBdr>
            <w:top w:val="none" w:sz="0" w:space="0" w:color="auto"/>
            <w:left w:val="none" w:sz="0" w:space="0" w:color="auto"/>
            <w:bottom w:val="none" w:sz="0" w:space="0" w:color="auto"/>
            <w:right w:val="none" w:sz="0" w:space="0" w:color="auto"/>
          </w:divBdr>
        </w:div>
        <w:div w:id="894465909">
          <w:marLeft w:val="0"/>
          <w:marRight w:val="0"/>
          <w:marTop w:val="0"/>
          <w:marBottom w:val="0"/>
          <w:divBdr>
            <w:top w:val="none" w:sz="0" w:space="0" w:color="auto"/>
            <w:left w:val="none" w:sz="0" w:space="0" w:color="auto"/>
            <w:bottom w:val="none" w:sz="0" w:space="0" w:color="auto"/>
            <w:right w:val="none" w:sz="0" w:space="0" w:color="auto"/>
          </w:divBdr>
        </w:div>
      </w:divsChild>
    </w:div>
    <w:div w:id="1820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4069986">
          <w:marLeft w:val="0"/>
          <w:marRight w:val="0"/>
          <w:marTop w:val="0"/>
          <w:marBottom w:val="0"/>
          <w:divBdr>
            <w:top w:val="none" w:sz="0" w:space="0" w:color="auto"/>
            <w:left w:val="none" w:sz="0" w:space="0" w:color="auto"/>
            <w:bottom w:val="none" w:sz="0" w:space="0" w:color="auto"/>
            <w:right w:val="none" w:sz="0" w:space="0" w:color="auto"/>
          </w:divBdr>
        </w:div>
        <w:div w:id="1897621270">
          <w:marLeft w:val="0"/>
          <w:marRight w:val="0"/>
          <w:marTop w:val="0"/>
          <w:marBottom w:val="0"/>
          <w:divBdr>
            <w:top w:val="none" w:sz="0" w:space="0" w:color="auto"/>
            <w:left w:val="none" w:sz="0" w:space="0" w:color="auto"/>
            <w:bottom w:val="none" w:sz="0" w:space="0" w:color="auto"/>
            <w:right w:val="none" w:sz="0" w:space="0" w:color="auto"/>
          </w:divBdr>
        </w:div>
      </w:divsChild>
    </w:div>
    <w:div w:id="2045859876">
      <w:bodyDiv w:val="1"/>
      <w:marLeft w:val="0"/>
      <w:marRight w:val="0"/>
      <w:marTop w:val="0"/>
      <w:marBottom w:val="0"/>
      <w:divBdr>
        <w:top w:val="none" w:sz="0" w:space="0" w:color="auto"/>
        <w:left w:val="none" w:sz="0" w:space="0" w:color="auto"/>
        <w:bottom w:val="none" w:sz="0" w:space="0" w:color="auto"/>
        <w:right w:val="none" w:sz="0" w:space="0" w:color="auto"/>
      </w:divBdr>
    </w:div>
    <w:div w:id="2062319528">
      <w:bodyDiv w:val="1"/>
      <w:marLeft w:val="0"/>
      <w:marRight w:val="0"/>
      <w:marTop w:val="0"/>
      <w:marBottom w:val="0"/>
      <w:divBdr>
        <w:top w:val="none" w:sz="0" w:space="0" w:color="auto"/>
        <w:left w:val="none" w:sz="0" w:space="0" w:color="auto"/>
        <w:bottom w:val="none" w:sz="0" w:space="0" w:color="auto"/>
        <w:right w:val="none" w:sz="0" w:space="0" w:color="auto"/>
      </w:divBdr>
    </w:div>
    <w:div w:id="2074307874">
      <w:bodyDiv w:val="1"/>
      <w:marLeft w:val="0"/>
      <w:marRight w:val="0"/>
      <w:marTop w:val="0"/>
      <w:marBottom w:val="0"/>
      <w:divBdr>
        <w:top w:val="none" w:sz="0" w:space="0" w:color="auto"/>
        <w:left w:val="none" w:sz="0" w:space="0" w:color="auto"/>
        <w:bottom w:val="none" w:sz="0" w:space="0" w:color="auto"/>
        <w:right w:val="none" w:sz="0" w:space="0" w:color="auto"/>
      </w:divBdr>
    </w:div>
    <w:div w:id="211905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sg.ox.ac.uk/research/research-projects/coronavirus-government-response-tracker" TargetMode="External"/><Relationship Id="rId4" Type="http://schemas.microsoft.com/office/2007/relationships/stylesWithEffects" Target="stylesWithEffects.xml"/><Relationship Id="rId9" Type="http://schemas.openxmlformats.org/officeDocument/2006/relationships/hyperlink" Target="https://www.bsg.ox.ac.uk/%20research/re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lmazovaL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F1EEC-3010-4547-ACDC-98A74A0D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5697</Words>
  <Characters>32478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Капелька Мёда</dc:creator>
  <cp:lastModifiedBy>Капелька Мёда</cp:lastModifiedBy>
  <cp:revision>113</cp:revision>
  <cp:lastPrinted>2020-11-22T00:37:00Z</cp:lastPrinted>
  <dcterms:created xsi:type="dcterms:W3CDTF">2020-11-21T18:02:00Z</dcterms:created>
  <dcterms:modified xsi:type="dcterms:W3CDTF">2020-11-22T00:39:00Z</dcterms:modified>
</cp:coreProperties>
</file>