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55" w:rsidRDefault="008F1255">
      <w:pPr>
        <w:rPr>
          <w:b/>
          <w:lang w:val="es-ES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D848CB8" wp14:editId="41174EF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48500" cy="1229360"/>
            <wp:effectExtent l="0" t="0" r="0" b="8890"/>
            <wp:wrapThrough wrapText="bothSides">
              <wp:wrapPolygon edited="0">
                <wp:start x="0" y="0"/>
                <wp:lineTo x="0" y="21421"/>
                <wp:lineTo x="21542" y="21421"/>
                <wp:lineTo x="2154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cfi-ub3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255" w:rsidRDefault="008F1255" w:rsidP="003938C6">
      <w:pPr>
        <w:rPr>
          <w:b/>
          <w:lang w:val="es-ES"/>
        </w:rPr>
      </w:pPr>
    </w:p>
    <w:p w:rsidR="008F1255" w:rsidRPr="008F1255" w:rsidRDefault="008F1255" w:rsidP="003938C6">
      <w:pPr>
        <w:rPr>
          <w:rFonts w:ascii="Times New Roman" w:hAnsi="Times New Roman" w:cs="Times New Roman"/>
          <w:b/>
          <w:lang w:val="es-ES"/>
        </w:rPr>
      </w:pPr>
    </w:p>
    <w:p w:rsidR="008F1255" w:rsidRPr="008F1255" w:rsidRDefault="009A209A" w:rsidP="008F1255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Introducción a la </w:t>
      </w:r>
      <w:r w:rsidR="008F1255" w:rsidRPr="008F1255">
        <w:rPr>
          <w:rFonts w:ascii="Times New Roman" w:hAnsi="Times New Roman" w:cs="Times New Roman"/>
          <w:b/>
          <w:sz w:val="28"/>
          <w:szCs w:val="28"/>
          <w:lang w:val="es-ES"/>
        </w:rPr>
        <w:t xml:space="preserve">Inversión </w:t>
      </w:r>
      <w:r w:rsidR="00E54495">
        <w:rPr>
          <w:rFonts w:ascii="Times New Roman" w:hAnsi="Times New Roman" w:cs="Times New Roman"/>
          <w:b/>
          <w:sz w:val="28"/>
          <w:szCs w:val="28"/>
          <w:lang w:val="es-ES"/>
        </w:rPr>
        <w:t xml:space="preserve">Responsable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(ESG Impact Investing)</w:t>
      </w:r>
    </w:p>
    <w:p w:rsidR="008F1255" w:rsidRPr="00CC463E" w:rsidRDefault="008F1255" w:rsidP="008F125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CC463E">
        <w:rPr>
          <w:rFonts w:ascii="Times New Roman" w:hAnsi="Times New Roman" w:cs="Times New Roman"/>
          <w:b/>
          <w:i/>
          <w:sz w:val="24"/>
          <w:szCs w:val="24"/>
          <w:lang w:val="es-ES"/>
        </w:rPr>
        <w:t>¿</w:t>
      </w:r>
      <w:r w:rsidR="009A209A" w:rsidRPr="00CC463E">
        <w:rPr>
          <w:rFonts w:ascii="Times New Roman" w:hAnsi="Times New Roman" w:cs="Times New Roman"/>
          <w:b/>
          <w:i/>
          <w:sz w:val="24"/>
          <w:szCs w:val="24"/>
          <w:lang w:val="es-ES"/>
        </w:rPr>
        <w:t>Inversión rentable</w:t>
      </w:r>
      <w:r w:rsidRPr="00CC463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o </w:t>
      </w:r>
      <w:r w:rsidR="000E09EE" w:rsidRPr="00CC463E">
        <w:rPr>
          <w:rFonts w:ascii="Times New Roman" w:hAnsi="Times New Roman" w:cs="Times New Roman"/>
          <w:b/>
          <w:i/>
          <w:sz w:val="24"/>
          <w:szCs w:val="24"/>
          <w:lang w:val="es-ES"/>
        </w:rPr>
        <w:t>voluntariado</w:t>
      </w:r>
      <w:r w:rsidRPr="00CC463E">
        <w:rPr>
          <w:rFonts w:ascii="Times New Roman" w:hAnsi="Times New Roman" w:cs="Times New Roman"/>
          <w:b/>
          <w:i/>
          <w:sz w:val="24"/>
          <w:szCs w:val="24"/>
          <w:lang w:val="es-ES"/>
        </w:rPr>
        <w:t>?</w:t>
      </w:r>
    </w:p>
    <w:p w:rsidR="008F1255" w:rsidRPr="008F1255" w:rsidRDefault="008F1255" w:rsidP="003938C6">
      <w:pPr>
        <w:rPr>
          <w:rFonts w:ascii="Times New Roman" w:hAnsi="Times New Roman" w:cs="Times New Roman"/>
          <w:b/>
          <w:lang w:val="es-ES"/>
        </w:rPr>
      </w:pPr>
    </w:p>
    <w:p w:rsidR="008F1255" w:rsidRPr="008F1255" w:rsidRDefault="008F1255" w:rsidP="003938C6">
      <w:pPr>
        <w:rPr>
          <w:rFonts w:ascii="Times New Roman" w:hAnsi="Times New Roman" w:cs="Times New Roman"/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Default="008F1255" w:rsidP="003938C6">
      <w:pPr>
        <w:rPr>
          <w:b/>
          <w:lang w:val="es-ES"/>
        </w:rPr>
      </w:pPr>
    </w:p>
    <w:p w:rsidR="008F1255" w:rsidRPr="008F1255" w:rsidRDefault="0052144E" w:rsidP="0052144E">
      <w:pPr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Proyecto de Tesina 2019/2020</w:t>
      </w:r>
    </w:p>
    <w:p w:rsidR="008F1255" w:rsidRPr="008F1255" w:rsidRDefault="008F1255" w:rsidP="008F1255">
      <w:pPr>
        <w:jc w:val="center"/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Gonçalo A. Antunes Mata de Castro Lousada</w:t>
      </w:r>
    </w:p>
    <w:p w:rsidR="008F1255" w:rsidRPr="008F1255" w:rsidRDefault="008F1255" w:rsidP="008F1255">
      <w:pPr>
        <w:jc w:val="center"/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goncalomatadecastrolousada@gmail.com</w:t>
      </w:r>
    </w:p>
    <w:p w:rsidR="008C1236" w:rsidRPr="008F1255" w:rsidRDefault="0019667C" w:rsidP="003938C6">
      <w:pPr>
        <w:rPr>
          <w:rFonts w:ascii="Times New Roman" w:hAnsi="Times New Roman" w:cs="Times New Roman"/>
          <w:b/>
          <w:lang w:val="es-ES"/>
        </w:rPr>
      </w:pPr>
      <w:r w:rsidRPr="008F1255">
        <w:rPr>
          <w:rFonts w:ascii="Times New Roman" w:hAnsi="Times New Roman" w:cs="Times New Roman"/>
          <w:b/>
          <w:lang w:val="es-ES"/>
        </w:rPr>
        <w:lastRenderedPageBreak/>
        <w:t xml:space="preserve">1. </w:t>
      </w:r>
      <w:r w:rsidR="008C1236" w:rsidRPr="008F1255">
        <w:rPr>
          <w:rFonts w:ascii="Times New Roman" w:hAnsi="Times New Roman" w:cs="Times New Roman"/>
          <w:b/>
          <w:lang w:val="es-ES"/>
        </w:rPr>
        <w:t>Índice</w:t>
      </w:r>
      <w:r w:rsidR="0031262B" w:rsidRPr="008F1255">
        <w:rPr>
          <w:rFonts w:ascii="Times New Roman" w:hAnsi="Times New Roman" w:cs="Times New Roman"/>
          <w:b/>
          <w:lang w:val="es-ES"/>
        </w:rPr>
        <w:t xml:space="preserve"> tentativo de la Tesis.</w:t>
      </w:r>
    </w:p>
    <w:p w:rsidR="004911DB" w:rsidRDefault="004A5775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Evolución</w:t>
      </w:r>
      <w:r w:rsidR="003938C6" w:rsidRPr="008F1255">
        <w:rPr>
          <w:rFonts w:ascii="Times New Roman" w:hAnsi="Times New Roman" w:cs="Times New Roman"/>
          <w:lang w:val="es-ES"/>
        </w:rPr>
        <w:t xml:space="preserve"> </w:t>
      </w:r>
      <w:r w:rsidR="00E54495">
        <w:rPr>
          <w:rFonts w:ascii="Times New Roman" w:hAnsi="Times New Roman" w:cs="Times New Roman"/>
          <w:lang w:val="es-ES"/>
        </w:rPr>
        <w:t>h</w:t>
      </w:r>
      <w:r w:rsidRPr="008F1255">
        <w:rPr>
          <w:rFonts w:ascii="Times New Roman" w:hAnsi="Times New Roman" w:cs="Times New Roman"/>
          <w:lang w:val="es-ES"/>
        </w:rPr>
        <w:t>istórica</w:t>
      </w:r>
      <w:r w:rsidR="00CD29AF">
        <w:rPr>
          <w:rFonts w:ascii="Times New Roman" w:hAnsi="Times New Roman" w:cs="Times New Roman"/>
          <w:lang w:val="es-ES"/>
        </w:rPr>
        <w:t xml:space="preserve"> de la inversión </w:t>
      </w:r>
      <w:r w:rsidR="00E54495">
        <w:rPr>
          <w:rFonts w:ascii="Times New Roman" w:hAnsi="Times New Roman" w:cs="Times New Roman"/>
          <w:lang w:val="es-ES"/>
        </w:rPr>
        <w:t>responsable (</w:t>
      </w:r>
      <w:r w:rsidR="00CD29AF">
        <w:rPr>
          <w:rFonts w:ascii="Times New Roman" w:hAnsi="Times New Roman" w:cs="Times New Roman"/>
          <w:lang w:val="es-ES"/>
        </w:rPr>
        <w:t>ESG</w:t>
      </w:r>
      <w:r w:rsidR="00E54495">
        <w:rPr>
          <w:rFonts w:ascii="Times New Roman" w:hAnsi="Times New Roman" w:cs="Times New Roman"/>
          <w:lang w:val="es-ES"/>
        </w:rPr>
        <w:t>)</w:t>
      </w:r>
      <w:r w:rsidR="008E53A6" w:rsidRPr="008F1255">
        <w:rPr>
          <w:rFonts w:ascii="Times New Roman" w:hAnsi="Times New Roman" w:cs="Times New Roman"/>
          <w:lang w:val="es-ES"/>
        </w:rPr>
        <w:t>.</w:t>
      </w:r>
    </w:p>
    <w:p w:rsidR="00331A3B" w:rsidRDefault="00315669" w:rsidP="00331A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 </w:t>
      </w:r>
      <w:r w:rsidR="00331A3B">
        <w:rPr>
          <w:rFonts w:ascii="Times New Roman" w:hAnsi="Times New Roman" w:cs="Times New Roman"/>
          <w:lang w:val="es-ES"/>
        </w:rPr>
        <w:t>Declaración Universal de Derechos Humanos.</w:t>
      </w:r>
    </w:p>
    <w:p w:rsidR="00331A3B" w:rsidRDefault="00315669" w:rsidP="00331A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 </w:t>
      </w:r>
      <w:r w:rsidR="00331A3B" w:rsidRPr="00331A3B">
        <w:rPr>
          <w:rFonts w:ascii="Times New Roman" w:hAnsi="Times New Roman" w:cs="Times New Roman"/>
          <w:lang w:val="es-ES"/>
        </w:rPr>
        <w:t xml:space="preserve">Declaración de la </w:t>
      </w:r>
      <w:r w:rsidR="00331A3B">
        <w:rPr>
          <w:rFonts w:ascii="Times New Roman" w:hAnsi="Times New Roman" w:cs="Times New Roman"/>
          <w:lang w:val="es-ES"/>
        </w:rPr>
        <w:t>Organización Internacional de Trabajo</w:t>
      </w:r>
      <w:r w:rsidR="00331A3B" w:rsidRPr="00331A3B">
        <w:rPr>
          <w:rFonts w:ascii="Times New Roman" w:hAnsi="Times New Roman" w:cs="Times New Roman"/>
          <w:lang w:val="es-ES"/>
        </w:rPr>
        <w:t xml:space="preserve"> </w:t>
      </w:r>
      <w:r w:rsidR="00331A3B">
        <w:rPr>
          <w:rFonts w:ascii="Times New Roman" w:hAnsi="Times New Roman" w:cs="Times New Roman"/>
          <w:lang w:val="es-ES"/>
        </w:rPr>
        <w:t>(</w:t>
      </w:r>
      <w:r w:rsidR="00331A3B" w:rsidRPr="00331A3B">
        <w:rPr>
          <w:rFonts w:ascii="Times New Roman" w:hAnsi="Times New Roman" w:cs="Times New Roman"/>
          <w:lang w:val="es-ES"/>
        </w:rPr>
        <w:t>OIT</w:t>
      </w:r>
      <w:r w:rsidR="00331A3B">
        <w:rPr>
          <w:rFonts w:ascii="Times New Roman" w:hAnsi="Times New Roman" w:cs="Times New Roman"/>
          <w:lang w:val="es-ES"/>
        </w:rPr>
        <w:t>)</w:t>
      </w:r>
      <w:r w:rsidR="00331A3B" w:rsidRPr="00331A3B">
        <w:rPr>
          <w:rFonts w:ascii="Times New Roman" w:hAnsi="Times New Roman" w:cs="Times New Roman"/>
          <w:lang w:val="es-ES"/>
        </w:rPr>
        <w:t xml:space="preserve"> relativa a los principios y derechos fundamentales en el trabajo</w:t>
      </w:r>
      <w:r w:rsidR="00331A3B">
        <w:rPr>
          <w:rFonts w:ascii="Times New Roman" w:hAnsi="Times New Roman" w:cs="Times New Roman"/>
          <w:lang w:val="es-ES"/>
        </w:rPr>
        <w:t>.</w:t>
      </w:r>
    </w:p>
    <w:p w:rsidR="00543517" w:rsidRPr="00543517" w:rsidRDefault="00543517" w:rsidP="00331A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lang w:val="es-ES"/>
        </w:rPr>
        <w:t>Acto de esclavatura moderna (</w:t>
      </w:r>
      <w:r w:rsidRPr="00543517">
        <w:rPr>
          <w:lang w:val="es-ES"/>
        </w:rPr>
        <w:t xml:space="preserve">Modern </w:t>
      </w:r>
      <w:proofErr w:type="spellStart"/>
      <w:r w:rsidRPr="00543517">
        <w:rPr>
          <w:lang w:val="es-ES"/>
        </w:rPr>
        <w:t>Slavery</w:t>
      </w:r>
      <w:proofErr w:type="spellEnd"/>
      <w:r w:rsidRPr="00543517">
        <w:rPr>
          <w:lang w:val="es-ES"/>
        </w:rPr>
        <w:t xml:space="preserve"> </w:t>
      </w:r>
      <w:proofErr w:type="spellStart"/>
      <w:r w:rsidRPr="00543517">
        <w:rPr>
          <w:lang w:val="es-ES"/>
        </w:rPr>
        <w:t>Act</w:t>
      </w:r>
      <w:proofErr w:type="spellEnd"/>
      <w:r>
        <w:rPr>
          <w:rFonts w:ascii="Times New Roman" w:hAnsi="Times New Roman" w:cs="Times New Roman"/>
          <w:lang w:val="es-ES"/>
        </w:rPr>
        <w:t xml:space="preserve"> - </w:t>
      </w:r>
      <w:r w:rsidRPr="00543517">
        <w:rPr>
          <w:lang w:val="es-ES"/>
        </w:rPr>
        <w:t>MSA</w:t>
      </w:r>
      <w:r w:rsidRPr="00543517">
        <w:rPr>
          <w:rFonts w:ascii="Times New Roman" w:hAnsi="Times New Roman" w:cs="Times New Roman"/>
          <w:lang w:val="es-ES"/>
        </w:rPr>
        <w:t>)</w:t>
      </w:r>
    </w:p>
    <w:p w:rsidR="00331A3B" w:rsidRDefault="00315669" w:rsidP="00331A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 </w:t>
      </w:r>
      <w:r w:rsidR="00331A3B" w:rsidRPr="00331A3B">
        <w:rPr>
          <w:rFonts w:ascii="Times New Roman" w:hAnsi="Times New Roman" w:cs="Times New Roman"/>
          <w:lang w:val="es-ES"/>
        </w:rPr>
        <w:t>Declaración de Río sobre el Medio Ambiente y el Desarrollo</w:t>
      </w:r>
      <w:r w:rsidR="00331A3B">
        <w:rPr>
          <w:rFonts w:ascii="Times New Roman" w:hAnsi="Times New Roman" w:cs="Times New Roman"/>
          <w:lang w:val="es-ES"/>
        </w:rPr>
        <w:t>.</w:t>
      </w:r>
    </w:p>
    <w:p w:rsidR="00315669" w:rsidRDefault="00315669" w:rsidP="00331A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Declaración de las Naciones Unidas Contra la Corrupción.</w:t>
      </w:r>
    </w:p>
    <w:p w:rsidR="00315669" w:rsidRDefault="00315669" w:rsidP="003156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315669">
        <w:rPr>
          <w:rFonts w:ascii="Times New Roman" w:hAnsi="Times New Roman" w:cs="Times New Roman"/>
          <w:lang w:val="es-ES"/>
        </w:rPr>
        <w:t>Los Diez Principios del Pacto Mundial de la ONU</w:t>
      </w:r>
      <w:r>
        <w:rPr>
          <w:rFonts w:ascii="Times New Roman" w:hAnsi="Times New Roman" w:cs="Times New Roman"/>
          <w:lang w:val="es-ES"/>
        </w:rPr>
        <w:t>.</w:t>
      </w:r>
    </w:p>
    <w:p w:rsidR="003938C6" w:rsidRPr="005A4415" w:rsidRDefault="00857782" w:rsidP="008577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5A4415">
        <w:rPr>
          <w:rFonts w:ascii="Times New Roman" w:hAnsi="Times New Roman" w:cs="Times New Roman"/>
          <w:lang w:val="es-ES"/>
        </w:rPr>
        <w:softHyphen/>
        <w:t>Objetivos de Desarrollo Sostenible de las Naciones Unidas (</w:t>
      </w:r>
      <w:proofErr w:type="spellStart"/>
      <w:r w:rsidRPr="005A4415">
        <w:rPr>
          <w:rFonts w:ascii="Times New Roman" w:hAnsi="Times New Roman" w:cs="Times New Roman"/>
          <w:i/>
          <w:lang w:val="es-ES"/>
        </w:rPr>
        <w:t>Sustainable</w:t>
      </w:r>
      <w:proofErr w:type="spellEnd"/>
      <w:r w:rsidRPr="005A4415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5A4415">
        <w:rPr>
          <w:rFonts w:ascii="Times New Roman" w:hAnsi="Times New Roman" w:cs="Times New Roman"/>
          <w:i/>
          <w:lang w:val="es-ES"/>
        </w:rPr>
        <w:t>Development</w:t>
      </w:r>
      <w:proofErr w:type="spellEnd"/>
      <w:r w:rsidRPr="005A4415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5A4415">
        <w:rPr>
          <w:rFonts w:ascii="Times New Roman" w:hAnsi="Times New Roman" w:cs="Times New Roman"/>
          <w:i/>
          <w:lang w:val="es-ES"/>
        </w:rPr>
        <w:t>Goals</w:t>
      </w:r>
      <w:proofErr w:type="spellEnd"/>
      <w:r w:rsidRPr="005A4415">
        <w:rPr>
          <w:rFonts w:ascii="Times New Roman" w:hAnsi="Times New Roman" w:cs="Times New Roman"/>
          <w:lang w:val="es-ES"/>
        </w:rPr>
        <w:t xml:space="preserve"> - </w:t>
      </w:r>
      <w:proofErr w:type="spellStart"/>
      <w:r w:rsidRPr="005A4415">
        <w:rPr>
          <w:rFonts w:ascii="Times New Roman" w:hAnsi="Times New Roman" w:cs="Times New Roman"/>
          <w:lang w:val="es-ES"/>
        </w:rPr>
        <w:t>SDGs</w:t>
      </w:r>
      <w:proofErr w:type="spellEnd"/>
      <w:r w:rsidRPr="005A4415">
        <w:rPr>
          <w:rFonts w:ascii="Times New Roman" w:hAnsi="Times New Roman" w:cs="Times New Roman"/>
          <w:lang w:val="es-ES"/>
        </w:rPr>
        <w:t>).</w:t>
      </w:r>
    </w:p>
    <w:p w:rsidR="00E54495" w:rsidRPr="005A4415" w:rsidRDefault="00E54495" w:rsidP="008577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5A4415">
        <w:rPr>
          <w:rFonts w:ascii="Times New Roman" w:hAnsi="Times New Roman" w:cs="Times New Roman"/>
          <w:lang w:val="es-ES"/>
        </w:rPr>
        <w:t>El Acuerdo de Paris.</w:t>
      </w:r>
    </w:p>
    <w:p w:rsidR="00322C26" w:rsidRPr="005A4415" w:rsidRDefault="00322C26" w:rsidP="003938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5A4415">
        <w:rPr>
          <w:rFonts w:ascii="Times New Roman" w:hAnsi="Times New Roman" w:cs="Times New Roman"/>
          <w:lang w:val="es-ES"/>
        </w:rPr>
        <w:t>Iniciativa PRI.</w:t>
      </w:r>
    </w:p>
    <w:p w:rsidR="004172D5" w:rsidRDefault="004A5775" w:rsidP="004172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Otros</w:t>
      </w:r>
      <w:r w:rsidR="003938C6" w:rsidRPr="008F1255">
        <w:rPr>
          <w:rFonts w:ascii="Times New Roman" w:hAnsi="Times New Roman" w:cs="Times New Roman"/>
          <w:lang w:val="es-ES"/>
        </w:rPr>
        <w:t xml:space="preserve"> </w:t>
      </w:r>
      <w:r w:rsidR="00322C26">
        <w:rPr>
          <w:rFonts w:ascii="Times New Roman" w:hAnsi="Times New Roman" w:cs="Times New Roman"/>
          <w:lang w:val="es-ES"/>
        </w:rPr>
        <w:t>marcos temporales</w:t>
      </w:r>
      <w:r w:rsidR="008E53A6" w:rsidRPr="008F1255">
        <w:rPr>
          <w:rFonts w:ascii="Times New Roman" w:hAnsi="Times New Roman" w:cs="Times New Roman"/>
          <w:lang w:val="es-ES"/>
        </w:rPr>
        <w:t>.</w:t>
      </w:r>
    </w:p>
    <w:p w:rsidR="00B15531" w:rsidRDefault="00E54495" w:rsidP="00B155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DD4565">
        <w:rPr>
          <w:rFonts w:ascii="Times New Roman" w:hAnsi="Times New Roman" w:cs="Times New Roman"/>
          <w:lang w:val="es-ES"/>
        </w:rPr>
        <w:t>l</w:t>
      </w:r>
      <w:r w:rsidR="00B15531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c</w:t>
      </w:r>
      <w:r w:rsidR="00B15531">
        <w:rPr>
          <w:rFonts w:ascii="Times New Roman" w:hAnsi="Times New Roman" w:cs="Times New Roman"/>
          <w:lang w:val="es-ES"/>
        </w:rPr>
        <w:t xml:space="preserve">ambio </w:t>
      </w:r>
      <w:r>
        <w:rPr>
          <w:rFonts w:ascii="Times New Roman" w:hAnsi="Times New Roman" w:cs="Times New Roman"/>
          <w:lang w:val="es-ES"/>
        </w:rPr>
        <w:t>c</w:t>
      </w:r>
      <w:r w:rsidR="00B15531">
        <w:rPr>
          <w:rFonts w:ascii="Times New Roman" w:hAnsi="Times New Roman" w:cs="Times New Roman"/>
          <w:lang w:val="es-ES"/>
        </w:rPr>
        <w:t>limático.</w:t>
      </w:r>
    </w:p>
    <w:p w:rsidR="003938C6" w:rsidRPr="008F1255" w:rsidRDefault="008C1236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Distinción entre f</w:t>
      </w:r>
      <w:r w:rsidR="003938C6" w:rsidRPr="008F1255">
        <w:rPr>
          <w:rFonts w:ascii="Times New Roman" w:hAnsi="Times New Roman" w:cs="Times New Roman"/>
          <w:lang w:val="es-ES"/>
        </w:rPr>
        <w:t>iguras afines</w:t>
      </w:r>
      <w:r w:rsidR="008E53A6" w:rsidRPr="008F1255">
        <w:rPr>
          <w:rFonts w:ascii="Times New Roman" w:hAnsi="Times New Roman" w:cs="Times New Roman"/>
          <w:lang w:val="es-ES"/>
        </w:rPr>
        <w:t>.</w:t>
      </w:r>
      <w:r w:rsidR="003938C6" w:rsidRPr="008F1255">
        <w:rPr>
          <w:rFonts w:ascii="Times New Roman" w:hAnsi="Times New Roman" w:cs="Times New Roman"/>
          <w:lang w:val="es-ES"/>
        </w:rPr>
        <w:t xml:space="preserve"> </w:t>
      </w:r>
    </w:p>
    <w:p w:rsidR="00CB17B1" w:rsidRDefault="00CB17B1" w:rsidP="00CB17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RSI.</w:t>
      </w:r>
    </w:p>
    <w:p w:rsidR="004172D5" w:rsidRPr="008F1255" w:rsidRDefault="00AB4B5B" w:rsidP="00CB17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Otros.</w:t>
      </w:r>
    </w:p>
    <w:p w:rsidR="008E3716" w:rsidRPr="008F1255" w:rsidRDefault="008E3716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La importancia del tema.</w:t>
      </w:r>
    </w:p>
    <w:p w:rsidR="008E3716" w:rsidRPr="008F1255" w:rsidRDefault="00E95C4C" w:rsidP="008E37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Su m</w:t>
      </w:r>
      <w:r w:rsidR="008E3716" w:rsidRPr="008F1255">
        <w:rPr>
          <w:rFonts w:ascii="Times New Roman" w:hAnsi="Times New Roman" w:cs="Times New Roman"/>
          <w:lang w:val="es-ES"/>
        </w:rPr>
        <w:t>otivación</w:t>
      </w:r>
      <w:r w:rsidR="00CB17B1" w:rsidRPr="008F1255">
        <w:rPr>
          <w:rFonts w:ascii="Times New Roman" w:hAnsi="Times New Roman" w:cs="Times New Roman"/>
          <w:lang w:val="es-ES"/>
        </w:rPr>
        <w:t>.</w:t>
      </w:r>
    </w:p>
    <w:p w:rsidR="00E54495" w:rsidRDefault="00E95C4C" w:rsidP="008E37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Su a</w:t>
      </w:r>
      <w:r w:rsidR="008E3716" w:rsidRPr="008F1255">
        <w:rPr>
          <w:rFonts w:ascii="Times New Roman" w:hAnsi="Times New Roman" w:cs="Times New Roman"/>
          <w:lang w:val="es-ES"/>
        </w:rPr>
        <w:t xml:space="preserve">udiencia </w:t>
      </w:r>
      <w:r w:rsidR="00E54495">
        <w:rPr>
          <w:rFonts w:ascii="Times New Roman" w:hAnsi="Times New Roman" w:cs="Times New Roman"/>
          <w:lang w:val="es-ES"/>
        </w:rPr>
        <w:t>global.</w:t>
      </w:r>
    </w:p>
    <w:p w:rsidR="004172D5" w:rsidRDefault="00E54495" w:rsidP="008E37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Su audiencia especifica.</w:t>
      </w:r>
    </w:p>
    <w:p w:rsidR="004172D5" w:rsidRDefault="00435D03" w:rsidP="004172D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Generación </w:t>
      </w:r>
      <w:r w:rsidRPr="00435D03">
        <w:rPr>
          <w:rFonts w:ascii="Times New Roman" w:hAnsi="Times New Roman" w:cs="Times New Roman"/>
          <w:i/>
          <w:lang w:val="es-ES"/>
        </w:rPr>
        <w:t>Millennial</w:t>
      </w:r>
      <w:r w:rsidR="004172D5">
        <w:rPr>
          <w:rFonts w:ascii="Times New Roman" w:hAnsi="Times New Roman" w:cs="Times New Roman"/>
          <w:lang w:val="es-ES"/>
        </w:rPr>
        <w:t>.</w:t>
      </w:r>
    </w:p>
    <w:p w:rsidR="004172D5" w:rsidRDefault="004172D5" w:rsidP="004172D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Profesionales de Finanzas.</w:t>
      </w:r>
    </w:p>
    <w:p w:rsidR="008E3716" w:rsidRPr="008F1255" w:rsidRDefault="004172D5" w:rsidP="004172D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Academia</w:t>
      </w:r>
      <w:r w:rsidR="008E3716" w:rsidRPr="008F1255">
        <w:rPr>
          <w:rFonts w:ascii="Times New Roman" w:hAnsi="Times New Roman" w:cs="Times New Roman"/>
          <w:lang w:val="es-ES"/>
        </w:rPr>
        <w:t xml:space="preserve">. </w:t>
      </w:r>
    </w:p>
    <w:p w:rsidR="003938C6" w:rsidRPr="008F1255" w:rsidRDefault="000019E6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 concepto de </w:t>
      </w:r>
      <w:r w:rsidR="003938C6" w:rsidRPr="008F1255">
        <w:rPr>
          <w:rFonts w:ascii="Times New Roman" w:hAnsi="Times New Roman" w:cs="Times New Roman"/>
          <w:lang w:val="es-ES"/>
        </w:rPr>
        <w:t>ESG</w:t>
      </w:r>
      <w:r>
        <w:rPr>
          <w:rFonts w:ascii="Times New Roman" w:hAnsi="Times New Roman" w:cs="Times New Roman"/>
          <w:lang w:val="es-ES"/>
        </w:rPr>
        <w:t>.</w:t>
      </w:r>
    </w:p>
    <w:p w:rsidR="003938C6" w:rsidRDefault="003938C6" w:rsidP="003938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Environmental</w:t>
      </w:r>
      <w:r w:rsidR="008E53A6" w:rsidRPr="008F1255">
        <w:rPr>
          <w:rFonts w:ascii="Times New Roman" w:hAnsi="Times New Roman" w:cs="Times New Roman"/>
          <w:lang w:val="es-ES"/>
        </w:rPr>
        <w:t>.</w:t>
      </w:r>
    </w:p>
    <w:p w:rsidR="000019E6" w:rsidRDefault="000019E6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Emisiones.</w:t>
      </w:r>
    </w:p>
    <w:p w:rsidR="000019E6" w:rsidRDefault="000019E6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Protección </w:t>
      </w:r>
      <w:r w:rsidR="00435D03">
        <w:rPr>
          <w:rFonts w:ascii="Times New Roman" w:hAnsi="Times New Roman" w:cs="Times New Roman"/>
          <w:lang w:val="es-ES"/>
        </w:rPr>
        <w:t>a</w:t>
      </w:r>
      <w:r>
        <w:rPr>
          <w:rFonts w:ascii="Times New Roman" w:hAnsi="Times New Roman" w:cs="Times New Roman"/>
          <w:lang w:val="es-ES"/>
        </w:rPr>
        <w:t>mbiental</w:t>
      </w:r>
      <w:r w:rsidR="00435D03">
        <w:rPr>
          <w:rFonts w:ascii="Times New Roman" w:hAnsi="Times New Roman" w:cs="Times New Roman"/>
          <w:lang w:val="es-ES"/>
        </w:rPr>
        <w:t>.</w:t>
      </w:r>
    </w:p>
    <w:p w:rsidR="00435D03" w:rsidRDefault="00435D03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Utilización de recursos.</w:t>
      </w:r>
    </w:p>
    <w:p w:rsidR="00435D03" w:rsidRDefault="00435D03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Gestión ambiental.</w:t>
      </w:r>
    </w:p>
    <w:p w:rsidR="00435D03" w:rsidRDefault="00435D03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Soluciones ambientales.</w:t>
      </w:r>
    </w:p>
    <w:p w:rsidR="00435D03" w:rsidRDefault="00435D03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Desperdicio.</w:t>
      </w:r>
    </w:p>
    <w:p w:rsidR="00435D03" w:rsidRDefault="00435D03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Agua.</w:t>
      </w:r>
    </w:p>
    <w:p w:rsidR="00E54495" w:rsidRPr="00435D03" w:rsidRDefault="00E54495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Otros.</w:t>
      </w:r>
    </w:p>
    <w:p w:rsidR="003938C6" w:rsidRPr="005A4415" w:rsidRDefault="003938C6" w:rsidP="003938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5A4415">
        <w:rPr>
          <w:rFonts w:ascii="Times New Roman" w:hAnsi="Times New Roman" w:cs="Times New Roman"/>
          <w:lang w:val="es-ES"/>
        </w:rPr>
        <w:t>Social</w:t>
      </w:r>
      <w:r w:rsidR="008E53A6" w:rsidRPr="005A4415">
        <w:rPr>
          <w:rFonts w:ascii="Times New Roman" w:hAnsi="Times New Roman" w:cs="Times New Roman"/>
          <w:lang w:val="es-ES"/>
        </w:rPr>
        <w:t>.</w:t>
      </w:r>
    </w:p>
    <w:p w:rsidR="00435D03" w:rsidRDefault="00435D03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Diversidad </w:t>
      </w:r>
      <w:r w:rsidR="000519E8">
        <w:rPr>
          <w:rFonts w:ascii="Times New Roman" w:hAnsi="Times New Roman" w:cs="Times New Roman"/>
          <w:lang w:val="es-ES"/>
        </w:rPr>
        <w:t>e</w:t>
      </w:r>
      <w:r>
        <w:rPr>
          <w:rFonts w:ascii="Times New Roman" w:hAnsi="Times New Roman" w:cs="Times New Roman"/>
          <w:lang w:val="es-ES"/>
        </w:rPr>
        <w:t xml:space="preserve"> </w:t>
      </w:r>
      <w:r w:rsidR="0020145C">
        <w:rPr>
          <w:rFonts w:ascii="Times New Roman" w:hAnsi="Times New Roman" w:cs="Times New Roman"/>
          <w:lang w:val="es-ES"/>
        </w:rPr>
        <w:t>i</w:t>
      </w:r>
      <w:r>
        <w:rPr>
          <w:rFonts w:ascii="Times New Roman" w:hAnsi="Times New Roman" w:cs="Times New Roman"/>
          <w:lang w:val="es-ES"/>
        </w:rPr>
        <w:t>nclusión.</w:t>
      </w:r>
    </w:p>
    <w:p w:rsidR="0020145C" w:rsidRDefault="0020145C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Seguridad y salud laboral.</w:t>
      </w:r>
    </w:p>
    <w:p w:rsidR="0020145C" w:rsidRDefault="0020145C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Entrenamiento y desarrollo. </w:t>
      </w:r>
    </w:p>
    <w:p w:rsidR="0020145C" w:rsidRDefault="0020145C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Acceso al producto.</w:t>
      </w:r>
    </w:p>
    <w:p w:rsidR="0020145C" w:rsidRDefault="0020145C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Relación con la comunidad.</w:t>
      </w:r>
    </w:p>
    <w:p w:rsidR="0020145C" w:rsidRDefault="0020145C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Calidad y seguridad del producto.</w:t>
      </w:r>
    </w:p>
    <w:p w:rsidR="0020145C" w:rsidRDefault="0020145C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Derechos </w:t>
      </w:r>
      <w:r w:rsidR="005A4415">
        <w:rPr>
          <w:rFonts w:ascii="Times New Roman" w:hAnsi="Times New Roman" w:cs="Times New Roman"/>
          <w:lang w:val="es-ES"/>
        </w:rPr>
        <w:t>h</w:t>
      </w:r>
      <w:r>
        <w:rPr>
          <w:rFonts w:ascii="Times New Roman" w:hAnsi="Times New Roman" w:cs="Times New Roman"/>
          <w:lang w:val="es-ES"/>
        </w:rPr>
        <w:t>umanos.</w:t>
      </w:r>
    </w:p>
    <w:p w:rsidR="0020145C" w:rsidRDefault="0020145C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Derechos laborales.</w:t>
      </w:r>
    </w:p>
    <w:p w:rsidR="0020145C" w:rsidRDefault="0020145C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Compensación.</w:t>
      </w:r>
    </w:p>
    <w:p w:rsidR="0020145C" w:rsidRDefault="0020145C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Calidad de empleo.</w:t>
      </w:r>
    </w:p>
    <w:p w:rsidR="00435D03" w:rsidRDefault="00E54495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Beneficios de trabajo.</w:t>
      </w:r>
    </w:p>
    <w:p w:rsidR="00E54495" w:rsidRPr="008F1255" w:rsidRDefault="00BD1EB5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Otros (trabajo infantil, esclavatura).</w:t>
      </w:r>
    </w:p>
    <w:p w:rsidR="003938C6" w:rsidRDefault="003938C6" w:rsidP="003938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Governance</w:t>
      </w:r>
      <w:r w:rsidR="008E53A6" w:rsidRPr="008F1255">
        <w:rPr>
          <w:rFonts w:ascii="Times New Roman" w:hAnsi="Times New Roman" w:cs="Times New Roman"/>
          <w:lang w:val="es-ES"/>
        </w:rPr>
        <w:t>.</w:t>
      </w:r>
    </w:p>
    <w:p w:rsidR="00E54495" w:rsidRDefault="0020145C" w:rsidP="00E544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Étnica de negocio.</w:t>
      </w:r>
    </w:p>
    <w:p w:rsidR="0020145C" w:rsidRDefault="0020145C" w:rsidP="00E544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 xml:space="preserve">Corporate </w:t>
      </w:r>
      <w:r w:rsidR="005A4415">
        <w:rPr>
          <w:rFonts w:ascii="Times New Roman" w:hAnsi="Times New Roman" w:cs="Times New Roman"/>
          <w:lang w:val="es-ES"/>
        </w:rPr>
        <w:t>g</w:t>
      </w:r>
      <w:r>
        <w:rPr>
          <w:rFonts w:ascii="Times New Roman" w:hAnsi="Times New Roman" w:cs="Times New Roman"/>
          <w:lang w:val="es-ES"/>
        </w:rPr>
        <w:t>overnance.</w:t>
      </w:r>
    </w:p>
    <w:p w:rsidR="0020145C" w:rsidRDefault="0020145C" w:rsidP="00E544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Transparencia.</w:t>
      </w:r>
    </w:p>
    <w:p w:rsidR="0020145C" w:rsidRDefault="0020145C" w:rsidP="00E544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Contabilidad forense.</w:t>
      </w:r>
    </w:p>
    <w:p w:rsidR="0020145C" w:rsidRPr="008F1255" w:rsidRDefault="0020145C" w:rsidP="00E544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Estructura del capital.</w:t>
      </w:r>
    </w:p>
    <w:p w:rsidR="0051761B" w:rsidRDefault="0051761B" w:rsidP="00517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La manifestación material ESG</w:t>
      </w:r>
      <w:r w:rsidR="00CB17B1" w:rsidRPr="008F1255">
        <w:rPr>
          <w:rFonts w:ascii="Times New Roman" w:hAnsi="Times New Roman" w:cs="Times New Roman"/>
          <w:lang w:val="es-ES"/>
        </w:rPr>
        <w:t>.</w:t>
      </w:r>
    </w:p>
    <w:p w:rsidR="000019E6" w:rsidRPr="005A4415" w:rsidRDefault="0020145C" w:rsidP="000019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5A4415">
        <w:rPr>
          <w:rFonts w:ascii="Times New Roman" w:hAnsi="Times New Roman" w:cs="Times New Roman"/>
          <w:lang w:val="es-ES"/>
        </w:rPr>
        <w:t>La tendencia</w:t>
      </w:r>
      <w:r w:rsidR="000019E6" w:rsidRPr="005A4415">
        <w:rPr>
          <w:rFonts w:ascii="Times New Roman" w:hAnsi="Times New Roman" w:cs="Times New Roman"/>
          <w:lang w:val="es-ES"/>
        </w:rPr>
        <w:t xml:space="preserve"> de cada industria.</w:t>
      </w:r>
    </w:p>
    <w:p w:rsidR="000019E6" w:rsidRDefault="000019E6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Gasolina y </w:t>
      </w:r>
      <w:r w:rsidR="0020145C">
        <w:rPr>
          <w:rFonts w:ascii="Times New Roman" w:hAnsi="Times New Roman" w:cs="Times New Roman"/>
          <w:lang w:val="es-ES"/>
        </w:rPr>
        <w:t>g</w:t>
      </w:r>
      <w:r>
        <w:rPr>
          <w:rFonts w:ascii="Times New Roman" w:hAnsi="Times New Roman" w:cs="Times New Roman"/>
          <w:lang w:val="es-ES"/>
        </w:rPr>
        <w:t>as.</w:t>
      </w:r>
    </w:p>
    <w:p w:rsidR="00435D03" w:rsidRDefault="00435D03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Automóvil.</w:t>
      </w:r>
    </w:p>
    <w:p w:rsidR="000019E6" w:rsidRDefault="000019E6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Energía.</w:t>
      </w:r>
    </w:p>
    <w:p w:rsidR="00435D03" w:rsidRDefault="00435D03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Producción </w:t>
      </w:r>
      <w:r w:rsidR="0020145C">
        <w:rPr>
          <w:rFonts w:ascii="Times New Roman" w:hAnsi="Times New Roman" w:cs="Times New Roman"/>
          <w:lang w:val="es-ES"/>
        </w:rPr>
        <w:t>i</w:t>
      </w:r>
      <w:r>
        <w:rPr>
          <w:rFonts w:ascii="Times New Roman" w:hAnsi="Times New Roman" w:cs="Times New Roman"/>
          <w:lang w:val="es-ES"/>
        </w:rPr>
        <w:t>ndustrial.</w:t>
      </w:r>
    </w:p>
    <w:p w:rsidR="00435D03" w:rsidRPr="00435D03" w:rsidRDefault="00435D03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Extracción </w:t>
      </w:r>
      <w:r w:rsidR="0020145C">
        <w:rPr>
          <w:rFonts w:ascii="Times New Roman" w:hAnsi="Times New Roman" w:cs="Times New Roman"/>
          <w:lang w:val="es-ES"/>
        </w:rPr>
        <w:t>m</w:t>
      </w:r>
      <w:r>
        <w:rPr>
          <w:rFonts w:ascii="Times New Roman" w:hAnsi="Times New Roman" w:cs="Times New Roman"/>
          <w:lang w:val="es-ES"/>
        </w:rPr>
        <w:t>inera.</w:t>
      </w:r>
    </w:p>
    <w:p w:rsidR="000019E6" w:rsidRDefault="000019E6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Bienes de </w:t>
      </w:r>
      <w:r w:rsidR="0020145C">
        <w:rPr>
          <w:rFonts w:ascii="Times New Roman" w:hAnsi="Times New Roman" w:cs="Times New Roman"/>
          <w:lang w:val="es-ES"/>
        </w:rPr>
        <w:t>c</w:t>
      </w:r>
      <w:r>
        <w:rPr>
          <w:rFonts w:ascii="Times New Roman" w:hAnsi="Times New Roman" w:cs="Times New Roman"/>
          <w:lang w:val="es-ES"/>
        </w:rPr>
        <w:t>onsumo.</w:t>
      </w:r>
    </w:p>
    <w:p w:rsidR="00435D03" w:rsidRDefault="00435D03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Comida y </w:t>
      </w:r>
      <w:r w:rsidR="0020145C">
        <w:rPr>
          <w:rFonts w:ascii="Times New Roman" w:hAnsi="Times New Roman" w:cs="Times New Roman"/>
          <w:lang w:val="es-ES"/>
        </w:rPr>
        <w:t>b</w:t>
      </w:r>
      <w:r>
        <w:rPr>
          <w:rFonts w:ascii="Times New Roman" w:hAnsi="Times New Roman" w:cs="Times New Roman"/>
          <w:lang w:val="es-ES"/>
        </w:rPr>
        <w:t>ebida.</w:t>
      </w:r>
    </w:p>
    <w:p w:rsidR="000019E6" w:rsidRDefault="000019E6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Agricultura.</w:t>
      </w:r>
    </w:p>
    <w:p w:rsidR="000019E6" w:rsidRDefault="00435D03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Banca.</w:t>
      </w:r>
    </w:p>
    <w:p w:rsidR="00435D03" w:rsidRDefault="00435D03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Seguros.</w:t>
      </w:r>
    </w:p>
    <w:p w:rsidR="00435D03" w:rsidRDefault="00435D03" w:rsidP="0000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Telecomunicaciones.</w:t>
      </w:r>
    </w:p>
    <w:p w:rsidR="00435D03" w:rsidRPr="00435D03" w:rsidRDefault="00435D03" w:rsidP="00435D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Transporte (</w:t>
      </w:r>
      <w:r w:rsidR="0020145C">
        <w:rPr>
          <w:rFonts w:ascii="Times New Roman" w:hAnsi="Times New Roman" w:cs="Times New Roman"/>
          <w:lang w:val="es-ES"/>
        </w:rPr>
        <w:t>t</w:t>
      </w:r>
      <w:r>
        <w:rPr>
          <w:rFonts w:ascii="Times New Roman" w:hAnsi="Times New Roman" w:cs="Times New Roman"/>
          <w:lang w:val="es-ES"/>
        </w:rPr>
        <w:t xml:space="preserve">errestre, </w:t>
      </w:r>
      <w:r w:rsidR="0020145C">
        <w:rPr>
          <w:rFonts w:ascii="Times New Roman" w:hAnsi="Times New Roman" w:cs="Times New Roman"/>
          <w:lang w:val="es-ES"/>
        </w:rPr>
        <w:t>m</w:t>
      </w:r>
      <w:r>
        <w:rPr>
          <w:rFonts w:ascii="Times New Roman" w:hAnsi="Times New Roman" w:cs="Times New Roman"/>
          <w:lang w:val="es-ES"/>
        </w:rPr>
        <w:t xml:space="preserve">arítimo y </w:t>
      </w:r>
      <w:r w:rsidR="0020145C">
        <w:rPr>
          <w:rFonts w:ascii="Times New Roman" w:hAnsi="Times New Roman" w:cs="Times New Roman"/>
          <w:lang w:val="es-ES"/>
        </w:rPr>
        <w:t>a</w:t>
      </w:r>
      <w:r>
        <w:rPr>
          <w:rFonts w:ascii="Times New Roman" w:hAnsi="Times New Roman" w:cs="Times New Roman"/>
          <w:lang w:val="es-ES"/>
        </w:rPr>
        <w:t>éreo).</w:t>
      </w:r>
    </w:p>
    <w:p w:rsidR="00435D03" w:rsidRDefault="00435D03" w:rsidP="005A44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Farmacia y </w:t>
      </w:r>
      <w:r w:rsidR="0020145C">
        <w:rPr>
          <w:rFonts w:ascii="Times New Roman" w:hAnsi="Times New Roman" w:cs="Times New Roman"/>
          <w:lang w:val="es-ES"/>
        </w:rPr>
        <w:t>q</w:t>
      </w:r>
      <w:r>
        <w:rPr>
          <w:rFonts w:ascii="Times New Roman" w:hAnsi="Times New Roman" w:cs="Times New Roman"/>
          <w:lang w:val="es-ES"/>
        </w:rPr>
        <w:t>uímicos.</w:t>
      </w:r>
    </w:p>
    <w:p w:rsidR="005A4415" w:rsidRPr="005A4415" w:rsidRDefault="005A4415" w:rsidP="005A44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Hotelería.</w:t>
      </w:r>
    </w:p>
    <w:p w:rsidR="00310E9D" w:rsidRDefault="00310E9D" w:rsidP="00310E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Positiva.</w:t>
      </w:r>
    </w:p>
    <w:p w:rsidR="00B15531" w:rsidRDefault="00B15531" w:rsidP="00310E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Neutra.</w:t>
      </w:r>
    </w:p>
    <w:p w:rsidR="00310E9D" w:rsidRDefault="00B15531" w:rsidP="00310E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Negativa</w:t>
      </w:r>
      <w:r w:rsidR="004172D5">
        <w:rPr>
          <w:rFonts w:ascii="Times New Roman" w:hAnsi="Times New Roman" w:cs="Times New Roman"/>
          <w:lang w:val="es-ES"/>
        </w:rPr>
        <w:t>.</w:t>
      </w:r>
    </w:p>
    <w:p w:rsidR="0020145C" w:rsidRDefault="0020145C" w:rsidP="00310E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20145C">
        <w:rPr>
          <w:rFonts w:ascii="Times New Roman" w:hAnsi="Times New Roman" w:cs="Times New Roman"/>
          <w:lang w:val="es-ES"/>
        </w:rPr>
        <w:t>Lava</w:t>
      </w:r>
      <w:r>
        <w:rPr>
          <w:rFonts w:ascii="Times New Roman" w:hAnsi="Times New Roman" w:cs="Times New Roman"/>
          <w:lang w:val="es-ES"/>
        </w:rPr>
        <w:t>do v</w:t>
      </w:r>
      <w:r w:rsidRPr="0020145C">
        <w:rPr>
          <w:rFonts w:ascii="Times New Roman" w:hAnsi="Times New Roman" w:cs="Times New Roman"/>
          <w:lang w:val="es-ES"/>
        </w:rPr>
        <w:t>erde</w:t>
      </w:r>
      <w:r>
        <w:rPr>
          <w:rFonts w:ascii="Times New Roman" w:hAnsi="Times New Roman" w:cs="Times New Roman"/>
          <w:lang w:val="es-ES"/>
        </w:rPr>
        <w:t>.</w:t>
      </w:r>
    </w:p>
    <w:p w:rsidR="00234CFD" w:rsidRPr="00435D03" w:rsidRDefault="000019E6" w:rsidP="00435D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Tipos de Rating ESG.</w:t>
      </w:r>
    </w:p>
    <w:p w:rsidR="003938C6" w:rsidRPr="008F1255" w:rsidRDefault="00435D03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¿Hay </w:t>
      </w:r>
      <w:r w:rsidR="00B15531">
        <w:rPr>
          <w:rFonts w:ascii="Times New Roman" w:hAnsi="Times New Roman" w:cs="Times New Roman"/>
          <w:lang w:val="es-ES"/>
        </w:rPr>
        <w:t>C</w:t>
      </w:r>
      <w:r w:rsidR="00CB17B1" w:rsidRPr="008F1255">
        <w:rPr>
          <w:rFonts w:ascii="Times New Roman" w:hAnsi="Times New Roman" w:cs="Times New Roman"/>
          <w:lang w:val="es-ES"/>
        </w:rPr>
        <w:t>onvergencia entre</w:t>
      </w:r>
      <w:r w:rsidR="008E53A6" w:rsidRPr="008F1255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lucro</w:t>
      </w:r>
      <w:r w:rsidR="008E53A6" w:rsidRPr="008F1255">
        <w:rPr>
          <w:rFonts w:ascii="Times New Roman" w:hAnsi="Times New Roman" w:cs="Times New Roman"/>
          <w:lang w:val="es-ES"/>
        </w:rPr>
        <w:t xml:space="preserve"> </w:t>
      </w:r>
      <w:r w:rsidR="00CB17B1" w:rsidRPr="008F1255">
        <w:rPr>
          <w:rFonts w:ascii="Times New Roman" w:hAnsi="Times New Roman" w:cs="Times New Roman"/>
          <w:lang w:val="es-ES"/>
        </w:rPr>
        <w:t>y</w:t>
      </w:r>
      <w:r w:rsidR="008E53A6" w:rsidRPr="008F1255">
        <w:rPr>
          <w:rFonts w:ascii="Times New Roman" w:hAnsi="Times New Roman" w:cs="Times New Roman"/>
          <w:lang w:val="es-ES"/>
        </w:rPr>
        <w:t xml:space="preserve"> estándares ESG?</w:t>
      </w:r>
    </w:p>
    <w:p w:rsidR="003938C6" w:rsidRPr="008F1255" w:rsidRDefault="003938C6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Caso práctico</w:t>
      </w:r>
      <w:r w:rsidR="008E53A6" w:rsidRPr="008F1255">
        <w:rPr>
          <w:rFonts w:ascii="Times New Roman" w:hAnsi="Times New Roman" w:cs="Times New Roman"/>
          <w:lang w:val="es-ES"/>
        </w:rPr>
        <w:t xml:space="preserve"> (</w:t>
      </w:r>
      <w:r w:rsidRPr="008F1255">
        <w:rPr>
          <w:rFonts w:ascii="Times New Roman" w:hAnsi="Times New Roman" w:cs="Times New Roman"/>
          <w:lang w:val="es-ES"/>
        </w:rPr>
        <w:t xml:space="preserve">Muestra </w:t>
      </w:r>
      <w:r w:rsidR="004172D5">
        <w:rPr>
          <w:rFonts w:ascii="Times New Roman" w:hAnsi="Times New Roman" w:cs="Times New Roman"/>
          <w:lang w:val="es-ES"/>
        </w:rPr>
        <w:t xml:space="preserve">definida </w:t>
      </w:r>
      <w:r w:rsidR="0020145C">
        <w:rPr>
          <w:rFonts w:ascii="Times New Roman" w:hAnsi="Times New Roman" w:cs="Times New Roman"/>
          <w:lang w:val="es-ES"/>
        </w:rPr>
        <w:t xml:space="preserve">de empresas </w:t>
      </w:r>
      <w:r w:rsidRPr="008F1255">
        <w:rPr>
          <w:rFonts w:ascii="Times New Roman" w:hAnsi="Times New Roman" w:cs="Times New Roman"/>
          <w:lang w:val="es-ES"/>
        </w:rPr>
        <w:t>del S&amp;P 500</w:t>
      </w:r>
      <w:r w:rsidR="008E53A6" w:rsidRPr="008F1255">
        <w:rPr>
          <w:rFonts w:ascii="Times New Roman" w:hAnsi="Times New Roman" w:cs="Times New Roman"/>
          <w:lang w:val="es-ES"/>
        </w:rPr>
        <w:t>).</w:t>
      </w:r>
    </w:p>
    <w:p w:rsidR="008E53A6" w:rsidRPr="008F1255" w:rsidRDefault="008E53A6" w:rsidP="003938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 xml:space="preserve">Correlación entre </w:t>
      </w:r>
      <w:r w:rsidR="00B15531">
        <w:rPr>
          <w:rFonts w:ascii="Times New Roman" w:hAnsi="Times New Roman" w:cs="Times New Roman"/>
          <w:lang w:val="es-ES"/>
        </w:rPr>
        <w:t>Capitalización de Mercado</w:t>
      </w:r>
      <w:r w:rsidRPr="008F1255">
        <w:rPr>
          <w:rFonts w:ascii="Times New Roman" w:hAnsi="Times New Roman" w:cs="Times New Roman"/>
          <w:lang w:val="es-ES"/>
        </w:rPr>
        <w:t xml:space="preserve"> y ESG.</w:t>
      </w:r>
    </w:p>
    <w:p w:rsidR="008E53A6" w:rsidRDefault="008E53A6" w:rsidP="003938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Correlación entre el precio del Stock y ESG.</w:t>
      </w:r>
    </w:p>
    <w:p w:rsidR="005A4415" w:rsidRPr="008F1255" w:rsidRDefault="005A4415" w:rsidP="005A44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Correlación entre ROI y ESG.</w:t>
      </w:r>
    </w:p>
    <w:p w:rsidR="005A4415" w:rsidRPr="008F1255" w:rsidRDefault="005A4415" w:rsidP="005A44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Correlación entre ROE y ESG.</w:t>
      </w:r>
    </w:p>
    <w:p w:rsidR="005A4415" w:rsidRPr="008F1255" w:rsidRDefault="005A4415" w:rsidP="005A44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Correlación entre EBIT y ESG.</w:t>
      </w:r>
    </w:p>
    <w:p w:rsidR="005A4415" w:rsidRPr="005A4415" w:rsidRDefault="005A4415" w:rsidP="005A44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Correlación entre EBITDA y ESG.</w:t>
      </w:r>
    </w:p>
    <w:p w:rsidR="00AB4B5B" w:rsidRDefault="008E53A6" w:rsidP="008E53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 xml:space="preserve">Conclusión del caso práctico </w:t>
      </w:r>
      <w:r w:rsidR="00AB4B5B">
        <w:rPr>
          <w:rFonts w:ascii="Times New Roman" w:hAnsi="Times New Roman" w:cs="Times New Roman"/>
          <w:lang w:val="es-ES"/>
        </w:rPr>
        <w:t xml:space="preserve">(análisis por </w:t>
      </w:r>
      <w:r w:rsidR="00AB4B5B" w:rsidRPr="00AB4B5B">
        <w:rPr>
          <w:rFonts w:ascii="Times New Roman" w:hAnsi="Times New Roman" w:cs="Times New Roman"/>
          <w:lang w:val="es-ES"/>
        </w:rPr>
        <w:t xml:space="preserve">factor </w:t>
      </w:r>
      <w:r w:rsidR="005A4415">
        <w:rPr>
          <w:rFonts w:ascii="Times New Roman" w:hAnsi="Times New Roman" w:cs="Times New Roman"/>
          <w:lang w:val="es-ES"/>
        </w:rPr>
        <w:t>ambiental, social</w:t>
      </w:r>
      <w:r w:rsidR="00AB4B5B" w:rsidRPr="00AB4B5B">
        <w:rPr>
          <w:rFonts w:ascii="Times New Roman" w:hAnsi="Times New Roman" w:cs="Times New Roman"/>
          <w:lang w:val="es-ES"/>
        </w:rPr>
        <w:t xml:space="preserve"> o </w:t>
      </w:r>
      <w:r w:rsidR="005A4415">
        <w:rPr>
          <w:rFonts w:ascii="Times New Roman" w:hAnsi="Times New Roman" w:cs="Times New Roman"/>
          <w:lang w:val="es-ES"/>
        </w:rPr>
        <w:t>governance</w:t>
      </w:r>
      <w:r w:rsidR="00AB4B5B">
        <w:rPr>
          <w:rFonts w:ascii="Times New Roman" w:hAnsi="Times New Roman" w:cs="Times New Roman"/>
          <w:lang w:val="es-ES"/>
        </w:rPr>
        <w:t>)</w:t>
      </w:r>
    </w:p>
    <w:p w:rsidR="008E53A6" w:rsidRDefault="00AB4B5B" w:rsidP="00AB4B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Por empresa.</w:t>
      </w:r>
    </w:p>
    <w:p w:rsidR="00AB4B5B" w:rsidRPr="00AB4B5B" w:rsidRDefault="00AB4B5B" w:rsidP="00AB4B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Por industria.</w:t>
      </w:r>
    </w:p>
    <w:p w:rsidR="003938C6" w:rsidRPr="008F1255" w:rsidRDefault="004172D5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Ejemplos</w:t>
      </w:r>
      <w:r w:rsidR="003938C6" w:rsidRPr="008F1255">
        <w:rPr>
          <w:rFonts w:ascii="Times New Roman" w:hAnsi="Times New Roman" w:cs="Times New Roman"/>
          <w:lang w:val="es-ES"/>
        </w:rPr>
        <w:t xml:space="preserve"> de </w:t>
      </w:r>
      <w:r w:rsidR="008E53A6" w:rsidRPr="008F1255">
        <w:rPr>
          <w:rFonts w:ascii="Times New Roman" w:hAnsi="Times New Roman" w:cs="Times New Roman"/>
          <w:lang w:val="es-ES"/>
        </w:rPr>
        <w:t>suceso</w:t>
      </w:r>
      <w:r w:rsidR="003938C6" w:rsidRPr="008F1255">
        <w:rPr>
          <w:rFonts w:ascii="Times New Roman" w:hAnsi="Times New Roman" w:cs="Times New Roman"/>
          <w:lang w:val="es-ES"/>
        </w:rPr>
        <w:t>.</w:t>
      </w:r>
    </w:p>
    <w:p w:rsidR="0062709C" w:rsidRPr="008F1255" w:rsidRDefault="0062709C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Dispersión</w:t>
      </w:r>
      <w:r w:rsidR="00322C26">
        <w:rPr>
          <w:rFonts w:ascii="Times New Roman" w:hAnsi="Times New Roman" w:cs="Times New Roman"/>
          <w:lang w:val="es-ES"/>
        </w:rPr>
        <w:t xml:space="preserve"> y motivación</w:t>
      </w:r>
      <w:r w:rsidRPr="008F1255">
        <w:rPr>
          <w:rFonts w:ascii="Times New Roman" w:hAnsi="Times New Roman" w:cs="Times New Roman"/>
          <w:lang w:val="es-ES"/>
        </w:rPr>
        <w:t xml:space="preserve"> geográfica del </w:t>
      </w:r>
      <w:r w:rsidR="00C044A4" w:rsidRPr="008F1255">
        <w:rPr>
          <w:rFonts w:ascii="Times New Roman" w:hAnsi="Times New Roman" w:cs="Times New Roman"/>
          <w:lang w:val="es-ES"/>
        </w:rPr>
        <w:t>fenómeno ESG</w:t>
      </w:r>
      <w:r w:rsidRPr="008F1255">
        <w:rPr>
          <w:rFonts w:ascii="Times New Roman" w:hAnsi="Times New Roman" w:cs="Times New Roman"/>
          <w:lang w:val="es-ES"/>
        </w:rPr>
        <w:t>.</w:t>
      </w:r>
    </w:p>
    <w:p w:rsidR="00CB17B1" w:rsidRPr="008F1255" w:rsidRDefault="00CB17B1" w:rsidP="00CB17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EE.UU.</w:t>
      </w:r>
    </w:p>
    <w:p w:rsidR="00CB17B1" w:rsidRPr="008F1255" w:rsidRDefault="00CB17B1" w:rsidP="00CB17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Europa.</w:t>
      </w:r>
    </w:p>
    <w:p w:rsidR="00CB17B1" w:rsidRDefault="00CB17B1" w:rsidP="00CB17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Asia.</w:t>
      </w:r>
    </w:p>
    <w:p w:rsidR="005A4415" w:rsidRDefault="005A4415" w:rsidP="00CB17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Oceanía.</w:t>
      </w:r>
    </w:p>
    <w:p w:rsidR="005A4415" w:rsidRPr="008F1255" w:rsidRDefault="005A4415" w:rsidP="00CB17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África.</w:t>
      </w:r>
    </w:p>
    <w:p w:rsidR="008C1236" w:rsidRPr="008F1255" w:rsidRDefault="003938C6" w:rsidP="008C12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F</w:t>
      </w:r>
      <w:r w:rsidR="00310E9D">
        <w:rPr>
          <w:rFonts w:ascii="Times New Roman" w:hAnsi="Times New Roman" w:cs="Times New Roman"/>
          <w:lang w:val="es-ES"/>
        </w:rPr>
        <w:t>orma</w:t>
      </w:r>
      <w:r w:rsidRPr="008F1255">
        <w:rPr>
          <w:rFonts w:ascii="Times New Roman" w:hAnsi="Times New Roman" w:cs="Times New Roman"/>
          <w:lang w:val="es-ES"/>
        </w:rPr>
        <w:t>s de inversión ESG</w:t>
      </w:r>
      <w:r w:rsidR="008E53A6" w:rsidRPr="008F1255">
        <w:rPr>
          <w:rFonts w:ascii="Times New Roman" w:hAnsi="Times New Roman" w:cs="Times New Roman"/>
          <w:lang w:val="es-ES"/>
        </w:rPr>
        <w:t>.</w:t>
      </w:r>
    </w:p>
    <w:p w:rsidR="00D104AD" w:rsidRPr="008F1255" w:rsidRDefault="005A4415" w:rsidP="008C12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Bonos verdes</w:t>
      </w:r>
      <w:r w:rsidR="00D104AD" w:rsidRPr="008F1255">
        <w:rPr>
          <w:rFonts w:ascii="Times New Roman" w:hAnsi="Times New Roman" w:cs="Times New Roman"/>
          <w:lang w:val="es-ES"/>
        </w:rPr>
        <w:t>.</w:t>
      </w:r>
    </w:p>
    <w:p w:rsidR="00C044A4" w:rsidRPr="008F1255" w:rsidRDefault="005A4415" w:rsidP="008C12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Préstamos verdes</w:t>
      </w:r>
      <w:r w:rsidR="00C044A4" w:rsidRPr="008F1255">
        <w:rPr>
          <w:rFonts w:ascii="Times New Roman" w:hAnsi="Times New Roman" w:cs="Times New Roman"/>
          <w:lang w:val="es-ES"/>
        </w:rPr>
        <w:t>.</w:t>
      </w:r>
    </w:p>
    <w:p w:rsidR="00C044A4" w:rsidRDefault="005A4415" w:rsidP="008C12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Empresas verdes</w:t>
      </w:r>
      <w:r w:rsidR="00C044A4" w:rsidRPr="008F1255">
        <w:rPr>
          <w:rFonts w:ascii="Times New Roman" w:hAnsi="Times New Roman" w:cs="Times New Roman"/>
          <w:lang w:val="es-ES"/>
        </w:rPr>
        <w:t>.</w:t>
      </w:r>
    </w:p>
    <w:p w:rsidR="00310E9D" w:rsidRPr="008F1255" w:rsidRDefault="00310E9D" w:rsidP="008C12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Otros.</w:t>
      </w:r>
    </w:p>
    <w:p w:rsidR="003938C6" w:rsidRPr="008F1255" w:rsidRDefault="003938C6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 xml:space="preserve">Incentivos </w:t>
      </w:r>
      <w:r w:rsidR="004A5775" w:rsidRPr="008F1255">
        <w:rPr>
          <w:rFonts w:ascii="Times New Roman" w:hAnsi="Times New Roman" w:cs="Times New Roman"/>
          <w:lang w:val="es-ES"/>
        </w:rPr>
        <w:t>públicos (apoyos gubernamentales)</w:t>
      </w:r>
      <w:r w:rsidR="008E53A6" w:rsidRPr="008F1255">
        <w:rPr>
          <w:rFonts w:ascii="Times New Roman" w:hAnsi="Times New Roman" w:cs="Times New Roman"/>
          <w:lang w:val="es-ES"/>
        </w:rPr>
        <w:t>.</w:t>
      </w:r>
    </w:p>
    <w:p w:rsidR="004A5775" w:rsidRPr="008F1255" w:rsidRDefault="004A5775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>Incentivos privados (seguradoras, bancos y productos indexados a una performance ESG).</w:t>
      </w:r>
    </w:p>
    <w:p w:rsidR="003938C6" w:rsidRDefault="008C1236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 xml:space="preserve">Métodos o herramientas de </w:t>
      </w:r>
      <w:r w:rsidR="005A4415">
        <w:rPr>
          <w:rFonts w:ascii="Times New Roman" w:hAnsi="Times New Roman" w:cs="Times New Roman"/>
          <w:lang w:val="es-ES"/>
        </w:rPr>
        <w:t>m</w:t>
      </w:r>
      <w:r w:rsidR="005B7B51">
        <w:rPr>
          <w:rFonts w:ascii="Times New Roman" w:hAnsi="Times New Roman" w:cs="Times New Roman"/>
          <w:lang w:val="es-ES"/>
        </w:rPr>
        <w:t xml:space="preserve">onitoreo </w:t>
      </w:r>
      <w:r w:rsidRPr="008F1255">
        <w:rPr>
          <w:rFonts w:ascii="Times New Roman" w:hAnsi="Times New Roman" w:cs="Times New Roman"/>
          <w:lang w:val="es-ES"/>
        </w:rPr>
        <w:t>ESG</w:t>
      </w:r>
      <w:r w:rsidR="004A5775" w:rsidRPr="008F1255">
        <w:rPr>
          <w:rFonts w:ascii="Times New Roman" w:hAnsi="Times New Roman" w:cs="Times New Roman"/>
          <w:lang w:val="es-ES"/>
        </w:rPr>
        <w:t>.</w:t>
      </w:r>
    </w:p>
    <w:p w:rsidR="004172D5" w:rsidRDefault="005A4415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Perspectiva</w:t>
      </w:r>
      <w:r w:rsidR="005B7B51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futura</w:t>
      </w:r>
      <w:r w:rsidR="004172D5">
        <w:rPr>
          <w:rFonts w:ascii="Times New Roman" w:hAnsi="Times New Roman" w:cs="Times New Roman"/>
          <w:lang w:val="es-ES"/>
        </w:rPr>
        <w:t>.</w:t>
      </w:r>
    </w:p>
    <w:p w:rsidR="00310E9D" w:rsidRPr="008F1255" w:rsidRDefault="00310E9D" w:rsidP="00393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Conclusión. </w:t>
      </w:r>
    </w:p>
    <w:p w:rsidR="005076F4" w:rsidRDefault="005076F4" w:rsidP="008C1236">
      <w:pPr>
        <w:rPr>
          <w:rFonts w:ascii="Times New Roman" w:hAnsi="Times New Roman" w:cs="Times New Roman"/>
          <w:lang w:val="es-ES"/>
        </w:rPr>
      </w:pPr>
    </w:p>
    <w:p w:rsidR="00A40893" w:rsidRDefault="00A40893" w:rsidP="008C1236">
      <w:pPr>
        <w:rPr>
          <w:rFonts w:ascii="Times New Roman" w:hAnsi="Times New Roman" w:cs="Times New Roman"/>
          <w:lang w:val="es-ES"/>
        </w:rPr>
      </w:pPr>
    </w:p>
    <w:p w:rsidR="00A40893" w:rsidRDefault="00A40893" w:rsidP="008C1236">
      <w:pPr>
        <w:rPr>
          <w:rFonts w:ascii="Times New Roman" w:hAnsi="Times New Roman" w:cs="Times New Roman"/>
          <w:lang w:val="es-ES"/>
        </w:rPr>
      </w:pPr>
    </w:p>
    <w:p w:rsidR="00A40893" w:rsidRDefault="00A40893" w:rsidP="008C1236">
      <w:pPr>
        <w:rPr>
          <w:rFonts w:ascii="Times New Roman" w:hAnsi="Times New Roman" w:cs="Times New Roman"/>
          <w:lang w:val="es-ES"/>
        </w:rPr>
      </w:pPr>
    </w:p>
    <w:p w:rsidR="00A40893" w:rsidRDefault="00A40893" w:rsidP="008C1236">
      <w:pPr>
        <w:rPr>
          <w:rFonts w:ascii="Times New Roman" w:hAnsi="Times New Roman" w:cs="Times New Roman"/>
          <w:lang w:val="es-ES"/>
        </w:rPr>
      </w:pPr>
    </w:p>
    <w:p w:rsidR="00A40893" w:rsidRDefault="00A40893" w:rsidP="008C1236">
      <w:pPr>
        <w:rPr>
          <w:rFonts w:ascii="Times New Roman" w:hAnsi="Times New Roman" w:cs="Times New Roman"/>
          <w:lang w:val="es-ES"/>
        </w:rPr>
      </w:pPr>
    </w:p>
    <w:p w:rsidR="00A40893" w:rsidRDefault="00A40893" w:rsidP="008C1236">
      <w:pPr>
        <w:rPr>
          <w:rFonts w:ascii="Times New Roman" w:hAnsi="Times New Roman" w:cs="Times New Roman"/>
          <w:lang w:val="es-ES"/>
        </w:rPr>
      </w:pPr>
    </w:p>
    <w:p w:rsidR="00A40893" w:rsidRDefault="00A40893" w:rsidP="008C1236">
      <w:pPr>
        <w:rPr>
          <w:rFonts w:ascii="Times New Roman" w:hAnsi="Times New Roman" w:cs="Times New Roman"/>
          <w:lang w:val="es-ES"/>
        </w:rPr>
      </w:pPr>
    </w:p>
    <w:p w:rsidR="00A40893" w:rsidRDefault="00A40893" w:rsidP="008C1236">
      <w:pPr>
        <w:rPr>
          <w:rFonts w:ascii="Times New Roman" w:hAnsi="Times New Roman" w:cs="Times New Roman"/>
          <w:lang w:val="es-ES"/>
        </w:rPr>
      </w:pPr>
    </w:p>
    <w:p w:rsidR="00A40893" w:rsidRDefault="00A40893" w:rsidP="008C1236">
      <w:pPr>
        <w:rPr>
          <w:rFonts w:ascii="Times New Roman" w:hAnsi="Times New Roman" w:cs="Times New Roman"/>
          <w:lang w:val="es-ES"/>
        </w:rPr>
      </w:pPr>
    </w:p>
    <w:p w:rsidR="00EA2125" w:rsidRDefault="00EA2125" w:rsidP="008C1236">
      <w:pPr>
        <w:rPr>
          <w:rFonts w:ascii="Times New Roman" w:hAnsi="Times New Roman" w:cs="Times New Roman"/>
          <w:lang w:val="es-ES"/>
        </w:rPr>
      </w:pPr>
    </w:p>
    <w:p w:rsidR="00EA2125" w:rsidRDefault="00EA2125" w:rsidP="008C1236">
      <w:pPr>
        <w:rPr>
          <w:rFonts w:ascii="Times New Roman" w:hAnsi="Times New Roman" w:cs="Times New Roman"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5A4415" w:rsidRDefault="005A4415" w:rsidP="008C1236">
      <w:pPr>
        <w:rPr>
          <w:rFonts w:ascii="Times New Roman" w:hAnsi="Times New Roman" w:cs="Times New Roman"/>
          <w:b/>
          <w:lang w:val="es-ES"/>
        </w:rPr>
      </w:pPr>
    </w:p>
    <w:p w:rsidR="00C53200" w:rsidRDefault="00C53200" w:rsidP="008C1236">
      <w:pPr>
        <w:rPr>
          <w:rFonts w:ascii="Times New Roman" w:hAnsi="Times New Roman" w:cs="Times New Roman"/>
          <w:b/>
          <w:lang w:val="es-ES"/>
        </w:rPr>
      </w:pPr>
    </w:p>
    <w:p w:rsidR="00C53200" w:rsidRDefault="00C53200" w:rsidP="008C1236">
      <w:pPr>
        <w:rPr>
          <w:rFonts w:ascii="Times New Roman" w:hAnsi="Times New Roman" w:cs="Times New Roman"/>
          <w:b/>
          <w:lang w:val="es-ES"/>
        </w:rPr>
      </w:pPr>
    </w:p>
    <w:p w:rsidR="00C53200" w:rsidRDefault="00C53200" w:rsidP="008C1236">
      <w:pPr>
        <w:rPr>
          <w:rFonts w:ascii="Times New Roman" w:hAnsi="Times New Roman" w:cs="Times New Roman"/>
          <w:b/>
          <w:lang w:val="es-ES"/>
        </w:rPr>
      </w:pPr>
    </w:p>
    <w:p w:rsidR="008C1236" w:rsidRPr="008F1255" w:rsidRDefault="0019667C" w:rsidP="008C1236">
      <w:pPr>
        <w:rPr>
          <w:rFonts w:ascii="Times New Roman" w:hAnsi="Times New Roman" w:cs="Times New Roman"/>
          <w:b/>
          <w:lang w:val="es-ES"/>
        </w:rPr>
      </w:pPr>
      <w:r w:rsidRPr="008F1255">
        <w:rPr>
          <w:rFonts w:ascii="Times New Roman" w:hAnsi="Times New Roman" w:cs="Times New Roman"/>
          <w:b/>
          <w:lang w:val="es-ES"/>
        </w:rPr>
        <w:lastRenderedPageBreak/>
        <w:t xml:space="preserve">2. </w:t>
      </w:r>
      <w:r w:rsidR="00B95647">
        <w:rPr>
          <w:rFonts w:ascii="Times New Roman" w:hAnsi="Times New Roman" w:cs="Times New Roman"/>
          <w:b/>
          <w:lang w:val="es-ES"/>
        </w:rPr>
        <w:t>Introducción.</w:t>
      </w:r>
    </w:p>
    <w:p w:rsidR="0031262B" w:rsidRPr="008F1255" w:rsidRDefault="0031262B" w:rsidP="005246A6">
      <w:pPr>
        <w:jc w:val="both"/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b/>
          <w:lang w:val="es-ES"/>
        </w:rPr>
        <w:t>2.1.</w:t>
      </w:r>
      <w:r w:rsidRPr="008F1255">
        <w:rPr>
          <w:rFonts w:ascii="Times New Roman" w:hAnsi="Times New Roman" w:cs="Times New Roman"/>
          <w:lang w:val="es-ES"/>
        </w:rPr>
        <w:t xml:space="preserve"> </w:t>
      </w:r>
      <w:r w:rsidR="004172D5">
        <w:rPr>
          <w:rFonts w:ascii="Times New Roman" w:hAnsi="Times New Roman" w:cs="Times New Roman"/>
          <w:b/>
          <w:lang w:val="es-ES"/>
        </w:rPr>
        <w:t>Objeto del estudio.</w:t>
      </w:r>
    </w:p>
    <w:p w:rsidR="005246A6" w:rsidRPr="008F1255" w:rsidRDefault="008C1236" w:rsidP="005246A6">
      <w:pPr>
        <w:jc w:val="both"/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 xml:space="preserve">El presente proyecto se propone a </w:t>
      </w:r>
      <w:r w:rsidR="00804A6D">
        <w:rPr>
          <w:rFonts w:ascii="Times New Roman" w:hAnsi="Times New Roman" w:cs="Times New Roman"/>
          <w:lang w:val="es-ES"/>
        </w:rPr>
        <w:t>introducir</w:t>
      </w:r>
      <w:r w:rsidRPr="008F1255">
        <w:rPr>
          <w:rFonts w:ascii="Times New Roman" w:hAnsi="Times New Roman" w:cs="Times New Roman"/>
          <w:lang w:val="es-ES"/>
        </w:rPr>
        <w:t xml:space="preserve"> el </w:t>
      </w:r>
      <w:r w:rsidR="00E31EEF" w:rsidRPr="008F1255">
        <w:rPr>
          <w:rFonts w:ascii="Times New Roman" w:hAnsi="Times New Roman" w:cs="Times New Roman"/>
          <w:lang w:val="es-ES"/>
        </w:rPr>
        <w:t>concepto de</w:t>
      </w:r>
      <w:r w:rsidRPr="008F1255">
        <w:rPr>
          <w:rFonts w:ascii="Times New Roman" w:hAnsi="Times New Roman" w:cs="Times New Roman"/>
          <w:lang w:val="es-ES"/>
        </w:rPr>
        <w:t xml:space="preserve"> </w:t>
      </w:r>
      <w:r w:rsidR="0019667C" w:rsidRPr="008F1255">
        <w:rPr>
          <w:rFonts w:ascii="Times New Roman" w:hAnsi="Times New Roman" w:cs="Times New Roman"/>
          <w:lang w:val="es-ES"/>
        </w:rPr>
        <w:t xml:space="preserve">inversión </w:t>
      </w:r>
      <w:r w:rsidR="00804A6D">
        <w:rPr>
          <w:rFonts w:ascii="Times New Roman" w:hAnsi="Times New Roman" w:cs="Times New Roman"/>
          <w:lang w:val="es-ES"/>
        </w:rPr>
        <w:t xml:space="preserve">responsable o </w:t>
      </w:r>
      <w:r w:rsidRPr="008F1255">
        <w:rPr>
          <w:rFonts w:ascii="Times New Roman" w:hAnsi="Times New Roman" w:cs="Times New Roman"/>
          <w:lang w:val="es-ES"/>
        </w:rPr>
        <w:t>ESG</w:t>
      </w:r>
      <w:r w:rsidR="006969B3" w:rsidRPr="008F1255">
        <w:rPr>
          <w:rFonts w:ascii="Times New Roman" w:hAnsi="Times New Roman" w:cs="Times New Roman"/>
          <w:lang w:val="es-ES"/>
        </w:rPr>
        <w:t xml:space="preserve"> (Environmental, Social and Governance)</w:t>
      </w:r>
      <w:r w:rsidRPr="008F1255">
        <w:rPr>
          <w:rFonts w:ascii="Times New Roman" w:hAnsi="Times New Roman" w:cs="Times New Roman"/>
          <w:lang w:val="es-ES"/>
        </w:rPr>
        <w:t xml:space="preserve"> &amp; Impact Investing</w:t>
      </w:r>
      <w:r w:rsidR="00E31EEF" w:rsidRPr="008F1255">
        <w:rPr>
          <w:rFonts w:ascii="Times New Roman" w:hAnsi="Times New Roman" w:cs="Times New Roman"/>
          <w:lang w:val="es-ES"/>
        </w:rPr>
        <w:t xml:space="preserve">. </w:t>
      </w:r>
      <w:r w:rsidR="00804A6D">
        <w:rPr>
          <w:rFonts w:ascii="Times New Roman" w:hAnsi="Times New Roman" w:cs="Times New Roman"/>
          <w:lang w:val="es-ES"/>
        </w:rPr>
        <w:t>La inversión</w:t>
      </w:r>
      <w:r w:rsidR="00721D73" w:rsidRPr="008F1255">
        <w:rPr>
          <w:rFonts w:ascii="Times New Roman" w:hAnsi="Times New Roman" w:cs="Times New Roman"/>
          <w:lang w:val="es-ES"/>
        </w:rPr>
        <w:t xml:space="preserve"> ESG implica la utilización </w:t>
      </w:r>
      <w:r w:rsidR="00A63861" w:rsidRPr="008F1255">
        <w:rPr>
          <w:rFonts w:ascii="Times New Roman" w:hAnsi="Times New Roman" w:cs="Times New Roman"/>
          <w:lang w:val="es-ES"/>
        </w:rPr>
        <w:t>de criterios Medioa</w:t>
      </w:r>
      <w:r w:rsidR="00721D73" w:rsidRPr="008F1255">
        <w:rPr>
          <w:rFonts w:ascii="Times New Roman" w:hAnsi="Times New Roman" w:cs="Times New Roman"/>
          <w:lang w:val="es-ES"/>
        </w:rPr>
        <w:t xml:space="preserve">mbientales (Environmental), Sociales (Social) y </w:t>
      </w:r>
      <w:r w:rsidR="00804A6D">
        <w:rPr>
          <w:rFonts w:ascii="Times New Roman" w:hAnsi="Times New Roman" w:cs="Times New Roman"/>
          <w:lang w:val="es-ES"/>
        </w:rPr>
        <w:t xml:space="preserve">de </w:t>
      </w:r>
      <w:r w:rsidR="00E6429D" w:rsidRPr="008F1255">
        <w:rPr>
          <w:rFonts w:ascii="Times New Roman" w:hAnsi="Times New Roman" w:cs="Times New Roman"/>
          <w:lang w:val="es-ES"/>
        </w:rPr>
        <w:t>Gob</w:t>
      </w:r>
      <w:r w:rsidR="00A63861" w:rsidRPr="008F1255">
        <w:rPr>
          <w:rFonts w:ascii="Times New Roman" w:hAnsi="Times New Roman" w:cs="Times New Roman"/>
          <w:lang w:val="es-ES"/>
        </w:rPr>
        <w:t>ierno Corporativo</w:t>
      </w:r>
      <w:r w:rsidR="00E6429D" w:rsidRPr="008F1255">
        <w:rPr>
          <w:rFonts w:ascii="Times New Roman" w:hAnsi="Times New Roman" w:cs="Times New Roman"/>
          <w:lang w:val="es-ES"/>
        </w:rPr>
        <w:t xml:space="preserve"> (</w:t>
      </w:r>
      <w:r w:rsidR="00721D73" w:rsidRPr="008F1255">
        <w:rPr>
          <w:rFonts w:ascii="Times New Roman" w:hAnsi="Times New Roman" w:cs="Times New Roman"/>
          <w:lang w:val="es-ES"/>
        </w:rPr>
        <w:t>Governance</w:t>
      </w:r>
      <w:r w:rsidR="00E6429D" w:rsidRPr="008F1255">
        <w:rPr>
          <w:rFonts w:ascii="Times New Roman" w:hAnsi="Times New Roman" w:cs="Times New Roman"/>
          <w:lang w:val="es-ES"/>
        </w:rPr>
        <w:t>)</w:t>
      </w:r>
      <w:r w:rsidR="00721D73" w:rsidRPr="008F1255">
        <w:rPr>
          <w:rFonts w:ascii="Times New Roman" w:hAnsi="Times New Roman" w:cs="Times New Roman"/>
          <w:lang w:val="es-ES"/>
        </w:rPr>
        <w:t xml:space="preserve"> </w:t>
      </w:r>
      <w:r w:rsidR="00490208" w:rsidRPr="008F1255">
        <w:rPr>
          <w:rFonts w:ascii="Times New Roman" w:hAnsi="Times New Roman" w:cs="Times New Roman"/>
          <w:lang w:val="es-ES"/>
        </w:rPr>
        <w:t>bajo</w:t>
      </w:r>
      <w:r w:rsidR="00721D73" w:rsidRPr="008F1255">
        <w:rPr>
          <w:rFonts w:ascii="Times New Roman" w:hAnsi="Times New Roman" w:cs="Times New Roman"/>
          <w:lang w:val="es-ES"/>
        </w:rPr>
        <w:t xml:space="preserve"> el intuito de evaluar el nivel de </w:t>
      </w:r>
      <w:r w:rsidR="005076F4">
        <w:rPr>
          <w:rFonts w:ascii="Times New Roman" w:hAnsi="Times New Roman" w:cs="Times New Roman"/>
          <w:lang w:val="es-ES"/>
        </w:rPr>
        <w:t xml:space="preserve">performance de </w:t>
      </w:r>
      <w:r w:rsidR="00721D73" w:rsidRPr="008F1255">
        <w:rPr>
          <w:rFonts w:ascii="Times New Roman" w:hAnsi="Times New Roman" w:cs="Times New Roman"/>
          <w:lang w:val="es-ES"/>
        </w:rPr>
        <w:t xml:space="preserve">empresas o países </w:t>
      </w:r>
      <w:r w:rsidR="00490208" w:rsidRPr="008F1255">
        <w:rPr>
          <w:rFonts w:ascii="Times New Roman" w:hAnsi="Times New Roman" w:cs="Times New Roman"/>
          <w:lang w:val="es-ES"/>
        </w:rPr>
        <w:t>en el ámbito de</w:t>
      </w:r>
      <w:r w:rsidR="00721D73" w:rsidRPr="008F1255">
        <w:rPr>
          <w:rFonts w:ascii="Times New Roman" w:hAnsi="Times New Roman" w:cs="Times New Roman"/>
          <w:lang w:val="es-ES"/>
        </w:rPr>
        <w:t xml:space="preserve"> la sostenibilidad</w:t>
      </w:r>
      <w:r w:rsidR="00804A6D">
        <w:rPr>
          <w:rFonts w:ascii="Times New Roman" w:hAnsi="Times New Roman" w:cs="Times New Roman"/>
          <w:lang w:val="es-ES"/>
        </w:rPr>
        <w:t xml:space="preserve"> mientras desarrollan su actividad fundamental de negocio</w:t>
      </w:r>
      <w:r w:rsidR="00721D73" w:rsidRPr="008F1255">
        <w:rPr>
          <w:rFonts w:ascii="Times New Roman" w:hAnsi="Times New Roman" w:cs="Times New Roman"/>
          <w:lang w:val="es-ES"/>
        </w:rPr>
        <w:t xml:space="preserve">. Tal </w:t>
      </w:r>
      <w:r w:rsidR="00490208" w:rsidRPr="008F1255">
        <w:rPr>
          <w:rFonts w:ascii="Times New Roman" w:hAnsi="Times New Roman" w:cs="Times New Roman"/>
          <w:lang w:val="es-ES"/>
        </w:rPr>
        <w:t>análisis</w:t>
      </w:r>
      <w:r w:rsidR="00721D73" w:rsidRPr="008F1255">
        <w:rPr>
          <w:rFonts w:ascii="Times New Roman" w:hAnsi="Times New Roman" w:cs="Times New Roman"/>
          <w:lang w:val="es-ES"/>
        </w:rPr>
        <w:t xml:space="preserve"> </w:t>
      </w:r>
      <w:r w:rsidR="00490208" w:rsidRPr="008F1255">
        <w:rPr>
          <w:rFonts w:ascii="Times New Roman" w:hAnsi="Times New Roman" w:cs="Times New Roman"/>
          <w:lang w:val="es-ES"/>
        </w:rPr>
        <w:t xml:space="preserve">de performance </w:t>
      </w:r>
      <w:r w:rsidR="00804A6D">
        <w:rPr>
          <w:rFonts w:ascii="Times New Roman" w:hAnsi="Times New Roman" w:cs="Times New Roman"/>
          <w:lang w:val="es-ES"/>
        </w:rPr>
        <w:t xml:space="preserve">es </w:t>
      </w:r>
      <w:r w:rsidR="00490208" w:rsidRPr="008F1255">
        <w:rPr>
          <w:rFonts w:ascii="Times New Roman" w:hAnsi="Times New Roman" w:cs="Times New Roman"/>
          <w:lang w:val="es-ES"/>
        </w:rPr>
        <w:t>suplantada por datos revestidos de materialidad financiera</w:t>
      </w:r>
      <w:r w:rsidR="00804A6D">
        <w:rPr>
          <w:rFonts w:ascii="Times New Roman" w:hAnsi="Times New Roman" w:cs="Times New Roman"/>
          <w:lang w:val="es-ES"/>
        </w:rPr>
        <w:t xml:space="preserve"> e</w:t>
      </w:r>
      <w:r w:rsidR="00721D73" w:rsidRPr="008F1255">
        <w:rPr>
          <w:rFonts w:ascii="Times New Roman" w:hAnsi="Times New Roman" w:cs="Times New Roman"/>
          <w:lang w:val="es-ES"/>
        </w:rPr>
        <w:t xml:space="preserve"> </w:t>
      </w:r>
      <w:r w:rsidR="00490208" w:rsidRPr="008F1255">
        <w:rPr>
          <w:rFonts w:ascii="Times New Roman" w:hAnsi="Times New Roman" w:cs="Times New Roman"/>
          <w:lang w:val="es-ES"/>
        </w:rPr>
        <w:t>integrad</w:t>
      </w:r>
      <w:r w:rsidR="00804A6D">
        <w:rPr>
          <w:rFonts w:ascii="Times New Roman" w:hAnsi="Times New Roman" w:cs="Times New Roman"/>
          <w:lang w:val="es-ES"/>
        </w:rPr>
        <w:t>a</w:t>
      </w:r>
      <w:r w:rsidR="00721D73" w:rsidRPr="008F1255">
        <w:rPr>
          <w:rFonts w:ascii="Times New Roman" w:hAnsi="Times New Roman" w:cs="Times New Roman"/>
          <w:lang w:val="es-ES"/>
        </w:rPr>
        <w:t xml:space="preserve"> en un proceso de inversión de forma a auxiliar la tomada de decisión en el momento de invertir</w:t>
      </w:r>
      <w:r w:rsidR="00804A6D">
        <w:rPr>
          <w:rFonts w:ascii="Times New Roman" w:hAnsi="Times New Roman" w:cs="Times New Roman"/>
          <w:lang w:val="es-ES"/>
        </w:rPr>
        <w:t xml:space="preserve"> capital</w:t>
      </w:r>
      <w:r w:rsidR="00721D73" w:rsidRPr="008F1255">
        <w:rPr>
          <w:rFonts w:ascii="Times New Roman" w:hAnsi="Times New Roman" w:cs="Times New Roman"/>
          <w:lang w:val="es-ES"/>
        </w:rPr>
        <w:t xml:space="preserve"> en stock o </w:t>
      </w:r>
      <w:r w:rsidR="00804A6D">
        <w:rPr>
          <w:rFonts w:ascii="Times New Roman" w:hAnsi="Times New Roman" w:cs="Times New Roman"/>
          <w:lang w:val="es-ES"/>
        </w:rPr>
        <w:t>bonos</w:t>
      </w:r>
      <w:r w:rsidR="00721D73" w:rsidRPr="008F1255">
        <w:rPr>
          <w:rFonts w:ascii="Times New Roman" w:hAnsi="Times New Roman" w:cs="Times New Roman"/>
          <w:lang w:val="es-ES"/>
        </w:rPr>
        <w:t xml:space="preserve"> de una entidad</w:t>
      </w:r>
      <w:r w:rsidR="00804A6D">
        <w:rPr>
          <w:rFonts w:ascii="Times New Roman" w:hAnsi="Times New Roman" w:cs="Times New Roman"/>
          <w:lang w:val="es-ES"/>
        </w:rPr>
        <w:t xml:space="preserve"> sin comprometer los valores de sostenibilidad que guían el inversor responsable</w:t>
      </w:r>
      <w:r w:rsidR="00721D73" w:rsidRPr="008F1255">
        <w:rPr>
          <w:rFonts w:ascii="Times New Roman" w:hAnsi="Times New Roman" w:cs="Times New Roman"/>
          <w:lang w:val="es-ES"/>
        </w:rPr>
        <w:t>.</w:t>
      </w:r>
      <w:r w:rsidR="00490208" w:rsidRPr="008F1255">
        <w:rPr>
          <w:rFonts w:ascii="Times New Roman" w:hAnsi="Times New Roman" w:cs="Times New Roman"/>
          <w:lang w:val="es-ES"/>
        </w:rPr>
        <w:t xml:space="preserve"> Aun que revierta la forma de </w:t>
      </w:r>
      <w:r w:rsidR="005076F4" w:rsidRPr="008F1255">
        <w:rPr>
          <w:rFonts w:ascii="Times New Roman" w:hAnsi="Times New Roman" w:cs="Times New Roman"/>
          <w:lang w:val="es-ES"/>
        </w:rPr>
        <w:t>inve</w:t>
      </w:r>
      <w:r w:rsidR="005076F4">
        <w:rPr>
          <w:rFonts w:ascii="Times New Roman" w:hAnsi="Times New Roman" w:cs="Times New Roman"/>
          <w:lang w:val="es-ES"/>
        </w:rPr>
        <w:t>r</w:t>
      </w:r>
      <w:r w:rsidR="005076F4" w:rsidRPr="008F1255">
        <w:rPr>
          <w:rFonts w:ascii="Times New Roman" w:hAnsi="Times New Roman" w:cs="Times New Roman"/>
          <w:lang w:val="es-ES"/>
        </w:rPr>
        <w:t>sión</w:t>
      </w:r>
      <w:r w:rsidR="00490208" w:rsidRPr="008F1255">
        <w:rPr>
          <w:rFonts w:ascii="Times New Roman" w:hAnsi="Times New Roman" w:cs="Times New Roman"/>
          <w:lang w:val="es-ES"/>
        </w:rPr>
        <w:t xml:space="preserve"> sostenible y </w:t>
      </w:r>
      <w:r w:rsidR="00804A6D">
        <w:rPr>
          <w:rFonts w:ascii="Times New Roman" w:hAnsi="Times New Roman" w:cs="Times New Roman"/>
          <w:lang w:val="es-ES"/>
        </w:rPr>
        <w:t>delimite</w:t>
      </w:r>
      <w:r w:rsidR="00490208" w:rsidRPr="008F1255">
        <w:rPr>
          <w:rFonts w:ascii="Times New Roman" w:hAnsi="Times New Roman" w:cs="Times New Roman"/>
          <w:lang w:val="es-ES"/>
        </w:rPr>
        <w:t xml:space="preserve"> su acción por </w:t>
      </w:r>
      <w:r w:rsidR="00804A6D">
        <w:rPr>
          <w:rFonts w:ascii="Times New Roman" w:hAnsi="Times New Roman" w:cs="Times New Roman"/>
          <w:lang w:val="es-ES"/>
        </w:rPr>
        <w:t>valores fundamentales</w:t>
      </w:r>
      <w:r w:rsidR="00490208" w:rsidRPr="008F1255">
        <w:rPr>
          <w:rFonts w:ascii="Times New Roman" w:hAnsi="Times New Roman" w:cs="Times New Roman"/>
          <w:lang w:val="es-ES"/>
        </w:rPr>
        <w:t xml:space="preserve"> </w:t>
      </w:r>
      <w:r w:rsidR="00804A6D">
        <w:rPr>
          <w:rFonts w:ascii="Times New Roman" w:hAnsi="Times New Roman" w:cs="Times New Roman"/>
          <w:lang w:val="es-ES"/>
        </w:rPr>
        <w:t xml:space="preserve">no-desviables, </w:t>
      </w:r>
      <w:r w:rsidR="00490208" w:rsidRPr="008F1255">
        <w:rPr>
          <w:rFonts w:ascii="Times New Roman" w:hAnsi="Times New Roman" w:cs="Times New Roman"/>
          <w:lang w:val="es-ES"/>
        </w:rPr>
        <w:t>preestablecidos de acuerdo con el inversor, una inversión ESG como toda la inversión</w:t>
      </w:r>
      <w:r w:rsidR="0019667C" w:rsidRPr="008F1255">
        <w:rPr>
          <w:rFonts w:ascii="Times New Roman" w:hAnsi="Times New Roman" w:cs="Times New Roman"/>
          <w:lang w:val="es-ES"/>
        </w:rPr>
        <w:t xml:space="preserve"> </w:t>
      </w:r>
      <w:r w:rsidR="0019667C" w:rsidRPr="008F1255">
        <w:rPr>
          <w:rFonts w:ascii="Times New Roman" w:hAnsi="Times New Roman" w:cs="Times New Roman"/>
          <w:i/>
          <w:lang w:val="es-ES"/>
        </w:rPr>
        <w:t>per se</w:t>
      </w:r>
      <w:r w:rsidR="00490208" w:rsidRPr="008F1255">
        <w:rPr>
          <w:rFonts w:ascii="Times New Roman" w:hAnsi="Times New Roman" w:cs="Times New Roman"/>
          <w:lang w:val="es-ES"/>
        </w:rPr>
        <w:t xml:space="preserve">, tiene el propósito máximo </w:t>
      </w:r>
      <w:r w:rsidR="00804A6D">
        <w:rPr>
          <w:rFonts w:ascii="Times New Roman" w:hAnsi="Times New Roman" w:cs="Times New Roman"/>
          <w:lang w:val="es-ES"/>
        </w:rPr>
        <w:t>de obtener lucros. Como tal, c</w:t>
      </w:r>
      <w:r w:rsidR="0019667C" w:rsidRPr="008F1255">
        <w:rPr>
          <w:rFonts w:ascii="Times New Roman" w:hAnsi="Times New Roman" w:cs="Times New Roman"/>
          <w:lang w:val="es-ES"/>
        </w:rPr>
        <w:t>uenta con un elemento de capital en riesgo que no</w:t>
      </w:r>
      <w:r w:rsidR="00804A6D">
        <w:rPr>
          <w:rFonts w:ascii="Times New Roman" w:hAnsi="Times New Roman" w:cs="Times New Roman"/>
          <w:lang w:val="es-ES"/>
        </w:rPr>
        <w:t xml:space="preserve"> garantiza el</w:t>
      </w:r>
      <w:r w:rsidR="0019667C" w:rsidRPr="008F1255">
        <w:rPr>
          <w:rFonts w:ascii="Times New Roman" w:hAnsi="Times New Roman" w:cs="Times New Roman"/>
          <w:lang w:val="es-ES"/>
        </w:rPr>
        <w:t xml:space="preserve"> </w:t>
      </w:r>
      <w:r w:rsidR="00804A6D">
        <w:rPr>
          <w:rFonts w:ascii="Times New Roman" w:hAnsi="Times New Roman" w:cs="Times New Roman"/>
          <w:lang w:val="es-ES"/>
        </w:rPr>
        <w:t>montante</w:t>
      </w:r>
      <w:r w:rsidR="0019667C" w:rsidRPr="008F1255">
        <w:rPr>
          <w:rFonts w:ascii="Times New Roman" w:hAnsi="Times New Roman" w:cs="Times New Roman"/>
          <w:lang w:val="es-ES"/>
        </w:rPr>
        <w:t xml:space="preserve"> inicial invertid</w:t>
      </w:r>
      <w:r w:rsidR="00804A6D">
        <w:rPr>
          <w:rFonts w:ascii="Times New Roman" w:hAnsi="Times New Roman" w:cs="Times New Roman"/>
          <w:lang w:val="es-ES"/>
        </w:rPr>
        <w:t>o</w:t>
      </w:r>
      <w:r w:rsidR="007D2509">
        <w:rPr>
          <w:rFonts w:ascii="Times New Roman" w:hAnsi="Times New Roman" w:cs="Times New Roman"/>
          <w:lang w:val="es-ES"/>
        </w:rPr>
        <w:t xml:space="preserve">, </w:t>
      </w:r>
      <w:r w:rsidR="0019667C" w:rsidRPr="008F1255">
        <w:rPr>
          <w:rFonts w:ascii="Times New Roman" w:hAnsi="Times New Roman" w:cs="Times New Roman"/>
          <w:lang w:val="es-ES"/>
        </w:rPr>
        <w:t>condiciona</w:t>
      </w:r>
      <w:r w:rsidR="007D2509">
        <w:rPr>
          <w:rFonts w:ascii="Times New Roman" w:hAnsi="Times New Roman" w:cs="Times New Roman"/>
          <w:lang w:val="es-ES"/>
        </w:rPr>
        <w:t>ndo</w:t>
      </w:r>
      <w:r w:rsidR="0019667C" w:rsidRPr="008F1255">
        <w:rPr>
          <w:rFonts w:ascii="Times New Roman" w:hAnsi="Times New Roman" w:cs="Times New Roman"/>
          <w:lang w:val="es-ES"/>
        </w:rPr>
        <w:t xml:space="preserve"> la variabilidad del valor de la inversión tal como el potencial ingreso.</w:t>
      </w:r>
    </w:p>
    <w:p w:rsidR="005246A6" w:rsidRPr="008F1255" w:rsidRDefault="005076F4" w:rsidP="00E6429D">
      <w:pPr>
        <w:jc w:val="both"/>
        <w:rPr>
          <w:rFonts w:ascii="Times New Roman" w:hAnsi="Times New Roman" w:cs="Times New Roman"/>
          <w:lang w:val="es-ES"/>
        </w:rPr>
      </w:pPr>
      <w:r w:rsidRPr="005076F4">
        <w:rPr>
          <w:rFonts w:ascii="Times New Roman" w:hAnsi="Times New Roman" w:cs="Times New Roman"/>
          <w:b/>
          <w:lang w:val="es-ES"/>
        </w:rPr>
        <w:t>2.1.1.</w:t>
      </w:r>
      <w:r>
        <w:rPr>
          <w:rFonts w:ascii="Times New Roman" w:hAnsi="Times New Roman" w:cs="Times New Roman"/>
          <w:lang w:val="es-ES"/>
        </w:rPr>
        <w:t xml:space="preserve"> </w:t>
      </w:r>
      <w:r w:rsidR="003C28FE" w:rsidRPr="008F1255">
        <w:rPr>
          <w:rFonts w:ascii="Times New Roman" w:hAnsi="Times New Roman" w:cs="Times New Roman"/>
          <w:lang w:val="es-ES"/>
        </w:rPr>
        <w:t xml:space="preserve">La componente </w:t>
      </w:r>
      <w:r w:rsidR="008E3716" w:rsidRPr="008F1255">
        <w:rPr>
          <w:rFonts w:ascii="Times New Roman" w:hAnsi="Times New Roman" w:cs="Times New Roman"/>
          <w:b/>
          <w:lang w:val="es-ES"/>
        </w:rPr>
        <w:t>Medioambiental</w:t>
      </w:r>
      <w:r w:rsidR="00490208" w:rsidRPr="008F1255">
        <w:rPr>
          <w:rFonts w:ascii="Times New Roman" w:hAnsi="Times New Roman" w:cs="Times New Roman"/>
          <w:lang w:val="es-ES"/>
        </w:rPr>
        <w:t xml:space="preserve"> analiza datos de factores</w:t>
      </w:r>
      <w:r w:rsidR="003C28FE" w:rsidRPr="008F1255">
        <w:rPr>
          <w:rFonts w:ascii="Times New Roman" w:hAnsi="Times New Roman" w:cs="Times New Roman"/>
          <w:lang w:val="es-ES"/>
        </w:rPr>
        <w:t xml:space="preserve"> materiales</w:t>
      </w:r>
      <w:r w:rsidR="00490208" w:rsidRPr="008F1255">
        <w:rPr>
          <w:rFonts w:ascii="Times New Roman" w:hAnsi="Times New Roman" w:cs="Times New Roman"/>
          <w:lang w:val="es-ES"/>
        </w:rPr>
        <w:t xml:space="preserve"> que </w:t>
      </w:r>
      <w:r w:rsidR="003C28FE" w:rsidRPr="008F1255">
        <w:rPr>
          <w:rFonts w:ascii="Times New Roman" w:hAnsi="Times New Roman" w:cs="Times New Roman"/>
          <w:lang w:val="es-ES"/>
        </w:rPr>
        <w:t xml:space="preserve">hagan luz sobre la contribución de una empresa o gobierno al cambio climático y calentamiento global, ponderando datos de factores materiales como las emisiones de gases de efecto invernadero, gestión de </w:t>
      </w:r>
      <w:r w:rsidR="0051761B" w:rsidRPr="008F1255">
        <w:rPr>
          <w:rFonts w:ascii="Times New Roman" w:hAnsi="Times New Roman" w:cs="Times New Roman"/>
          <w:lang w:val="es-ES"/>
        </w:rPr>
        <w:t xml:space="preserve">recursos naturales, gestión de residuos, contaminación </w:t>
      </w:r>
      <w:r w:rsidR="003C28FE" w:rsidRPr="008F1255">
        <w:rPr>
          <w:rFonts w:ascii="Times New Roman" w:hAnsi="Times New Roman" w:cs="Times New Roman"/>
          <w:lang w:val="es-ES"/>
        </w:rPr>
        <w:t xml:space="preserve">o eficiencia energética. </w:t>
      </w:r>
    </w:p>
    <w:p w:rsidR="005246A6" w:rsidRPr="008F1255" w:rsidRDefault="005076F4" w:rsidP="00E6429D">
      <w:pPr>
        <w:jc w:val="both"/>
        <w:rPr>
          <w:rFonts w:ascii="Times New Roman" w:hAnsi="Times New Roman" w:cs="Times New Roman"/>
          <w:lang w:val="es-ES"/>
        </w:rPr>
      </w:pPr>
      <w:r w:rsidRPr="005076F4">
        <w:rPr>
          <w:rFonts w:ascii="Times New Roman" w:hAnsi="Times New Roman" w:cs="Times New Roman"/>
          <w:b/>
          <w:lang w:val="es-ES"/>
        </w:rPr>
        <w:t>2.1.2.</w:t>
      </w:r>
      <w:r>
        <w:rPr>
          <w:rFonts w:ascii="Times New Roman" w:hAnsi="Times New Roman" w:cs="Times New Roman"/>
          <w:lang w:val="es-ES"/>
        </w:rPr>
        <w:t xml:space="preserve"> </w:t>
      </w:r>
      <w:r w:rsidR="003C28FE" w:rsidRPr="008F1255">
        <w:rPr>
          <w:rFonts w:ascii="Times New Roman" w:hAnsi="Times New Roman" w:cs="Times New Roman"/>
          <w:lang w:val="es-ES"/>
        </w:rPr>
        <w:t xml:space="preserve">La componente </w:t>
      </w:r>
      <w:r w:rsidR="003C28FE" w:rsidRPr="008F1255">
        <w:rPr>
          <w:rFonts w:ascii="Times New Roman" w:hAnsi="Times New Roman" w:cs="Times New Roman"/>
          <w:b/>
          <w:lang w:val="es-ES"/>
        </w:rPr>
        <w:t>Social</w:t>
      </w:r>
      <w:r w:rsidR="003C28FE" w:rsidRPr="008F1255">
        <w:rPr>
          <w:rFonts w:ascii="Times New Roman" w:hAnsi="Times New Roman" w:cs="Times New Roman"/>
          <w:lang w:val="es-ES"/>
        </w:rPr>
        <w:t xml:space="preserve"> valorará indicadores en el ámbito de los derechos humanos, estándares de labor al largo de toda la cadena de suministro</w:t>
      </w:r>
      <w:r w:rsidR="005246A6" w:rsidRPr="008F1255">
        <w:rPr>
          <w:rFonts w:ascii="Times New Roman" w:hAnsi="Times New Roman" w:cs="Times New Roman"/>
          <w:lang w:val="es-ES"/>
        </w:rPr>
        <w:t xml:space="preserve">, </w:t>
      </w:r>
      <w:r w:rsidR="003C28FE" w:rsidRPr="008F1255">
        <w:rPr>
          <w:rFonts w:ascii="Times New Roman" w:hAnsi="Times New Roman" w:cs="Times New Roman"/>
          <w:lang w:val="es-ES"/>
        </w:rPr>
        <w:t xml:space="preserve">exposición </w:t>
      </w:r>
      <w:r w:rsidR="005246A6" w:rsidRPr="008F1255">
        <w:rPr>
          <w:rFonts w:ascii="Times New Roman" w:hAnsi="Times New Roman" w:cs="Times New Roman"/>
          <w:lang w:val="es-ES"/>
        </w:rPr>
        <w:t xml:space="preserve">al trabajo infantil ilegal, adhesión a programas de seguridad y salud. La integración en la comunidad donde la entidad opera su operación de negocio es tenida en cuenta, tal como la licencia social para operar con el permiso debido. </w:t>
      </w:r>
    </w:p>
    <w:p w:rsidR="00490208" w:rsidRPr="008F1255" w:rsidRDefault="005076F4" w:rsidP="00E31EEF">
      <w:pPr>
        <w:jc w:val="both"/>
        <w:rPr>
          <w:rFonts w:ascii="Times New Roman" w:hAnsi="Times New Roman" w:cs="Times New Roman"/>
          <w:lang w:val="es-ES"/>
        </w:rPr>
      </w:pPr>
      <w:r w:rsidRPr="005076F4">
        <w:rPr>
          <w:rFonts w:ascii="Times New Roman" w:hAnsi="Times New Roman" w:cs="Times New Roman"/>
          <w:b/>
          <w:lang w:val="es-ES"/>
        </w:rPr>
        <w:t>2.1.3.</w:t>
      </w:r>
      <w:r>
        <w:rPr>
          <w:rFonts w:ascii="Times New Roman" w:hAnsi="Times New Roman" w:cs="Times New Roman"/>
          <w:lang w:val="es-ES"/>
        </w:rPr>
        <w:t xml:space="preserve"> </w:t>
      </w:r>
      <w:r w:rsidR="00E6429D" w:rsidRPr="008F1255">
        <w:rPr>
          <w:rFonts w:ascii="Times New Roman" w:hAnsi="Times New Roman" w:cs="Times New Roman"/>
          <w:lang w:val="es-ES"/>
        </w:rPr>
        <w:t xml:space="preserve">La componente </w:t>
      </w:r>
      <w:r w:rsidR="00A63861" w:rsidRPr="008F1255">
        <w:rPr>
          <w:rFonts w:ascii="Times New Roman" w:hAnsi="Times New Roman" w:cs="Times New Roman"/>
          <w:lang w:val="es-ES"/>
        </w:rPr>
        <w:t xml:space="preserve">del </w:t>
      </w:r>
      <w:r w:rsidR="00A63861" w:rsidRPr="008F1255">
        <w:rPr>
          <w:rFonts w:ascii="Times New Roman" w:hAnsi="Times New Roman" w:cs="Times New Roman"/>
          <w:b/>
          <w:lang w:val="es-ES"/>
        </w:rPr>
        <w:t>Gobierno</w:t>
      </w:r>
      <w:r w:rsidR="00A63861" w:rsidRPr="008F1255">
        <w:rPr>
          <w:rFonts w:ascii="Times New Roman" w:hAnsi="Times New Roman" w:cs="Times New Roman"/>
          <w:lang w:val="es-ES"/>
        </w:rPr>
        <w:t xml:space="preserve"> </w:t>
      </w:r>
      <w:r w:rsidR="00A63861" w:rsidRPr="008F1255">
        <w:rPr>
          <w:rFonts w:ascii="Times New Roman" w:hAnsi="Times New Roman" w:cs="Times New Roman"/>
          <w:b/>
          <w:lang w:val="es-ES"/>
        </w:rPr>
        <w:t>Corporativo</w:t>
      </w:r>
      <w:r w:rsidR="00A63861" w:rsidRPr="008F1255">
        <w:rPr>
          <w:rFonts w:ascii="Times New Roman" w:hAnsi="Times New Roman" w:cs="Times New Roman"/>
          <w:lang w:val="es-ES"/>
        </w:rPr>
        <w:t xml:space="preserve"> </w:t>
      </w:r>
      <w:r w:rsidR="005246A6" w:rsidRPr="008F1255">
        <w:rPr>
          <w:rFonts w:ascii="Times New Roman" w:hAnsi="Times New Roman" w:cs="Times New Roman"/>
          <w:lang w:val="es-ES"/>
        </w:rPr>
        <w:t>esta sostenida por un conjunto de reglas o principios que definen derechos, deberes y expectativas entre los variados depositarios de la gobernación de una empresa.</w:t>
      </w:r>
      <w:r w:rsidR="00E6429D" w:rsidRPr="008F1255">
        <w:rPr>
          <w:rFonts w:ascii="Times New Roman" w:hAnsi="Times New Roman" w:cs="Times New Roman"/>
          <w:lang w:val="es-ES"/>
        </w:rPr>
        <w:t xml:space="preserve"> Un</w:t>
      </w:r>
      <w:r w:rsidR="008E3716" w:rsidRPr="008F1255">
        <w:rPr>
          <w:rFonts w:ascii="Times New Roman" w:hAnsi="Times New Roman" w:cs="Times New Roman"/>
          <w:lang w:val="es-ES"/>
        </w:rPr>
        <w:t xml:space="preserve"> sistema </w:t>
      </w:r>
      <w:r w:rsidR="00E6429D" w:rsidRPr="008F1255">
        <w:rPr>
          <w:rFonts w:ascii="Times New Roman" w:hAnsi="Times New Roman" w:cs="Times New Roman"/>
          <w:lang w:val="es-ES"/>
        </w:rPr>
        <w:t>de gob</w:t>
      </w:r>
      <w:r w:rsidR="00A63861" w:rsidRPr="008F1255">
        <w:rPr>
          <w:rFonts w:ascii="Times New Roman" w:hAnsi="Times New Roman" w:cs="Times New Roman"/>
          <w:lang w:val="es-ES"/>
        </w:rPr>
        <w:t>ierno</w:t>
      </w:r>
      <w:r w:rsidR="00E6429D" w:rsidRPr="008F1255">
        <w:rPr>
          <w:rFonts w:ascii="Times New Roman" w:hAnsi="Times New Roman" w:cs="Times New Roman"/>
          <w:lang w:val="es-ES"/>
        </w:rPr>
        <w:t xml:space="preserve"> </w:t>
      </w:r>
      <w:r w:rsidR="00A63861" w:rsidRPr="008F1255">
        <w:rPr>
          <w:rFonts w:ascii="Times New Roman" w:hAnsi="Times New Roman" w:cs="Times New Roman"/>
          <w:lang w:val="es-ES"/>
        </w:rPr>
        <w:t>corporativo</w:t>
      </w:r>
      <w:r w:rsidR="008E3716" w:rsidRPr="008F1255">
        <w:rPr>
          <w:rFonts w:ascii="Times New Roman" w:hAnsi="Times New Roman" w:cs="Times New Roman"/>
          <w:lang w:val="es-ES"/>
        </w:rPr>
        <w:t xml:space="preserve"> (Corporate Governance) bien definido tiene el potencial de poder equilibrar o aliñar los variados intereses entre todos los </w:t>
      </w:r>
      <w:r w:rsidR="008E3716" w:rsidRPr="00DF5B3E">
        <w:rPr>
          <w:rFonts w:ascii="Times New Roman" w:hAnsi="Times New Roman" w:cs="Times New Roman"/>
          <w:lang w:val="es-ES"/>
        </w:rPr>
        <w:t>depositarios</w:t>
      </w:r>
      <w:r w:rsidR="008E3716" w:rsidRPr="008F1255">
        <w:rPr>
          <w:rFonts w:ascii="Times New Roman" w:hAnsi="Times New Roman" w:cs="Times New Roman"/>
          <w:lang w:val="es-ES"/>
        </w:rPr>
        <w:t xml:space="preserve"> (stakeholders) y servir de herramienta de suporte a la estrategia de la empresa al longo plazo. </w:t>
      </w:r>
    </w:p>
    <w:p w:rsidR="005A4415" w:rsidRPr="008F1255" w:rsidRDefault="0051761B" w:rsidP="00E31EEF">
      <w:pPr>
        <w:jc w:val="both"/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 xml:space="preserve">Este proyecto buscará demonstrar </w:t>
      </w:r>
      <w:r w:rsidR="007D2509">
        <w:rPr>
          <w:rFonts w:ascii="Times New Roman" w:hAnsi="Times New Roman" w:cs="Times New Roman"/>
          <w:lang w:val="es-ES"/>
        </w:rPr>
        <w:t>se hay</w:t>
      </w:r>
      <w:r w:rsidRPr="008F1255">
        <w:rPr>
          <w:rFonts w:ascii="Times New Roman" w:hAnsi="Times New Roman" w:cs="Times New Roman"/>
          <w:lang w:val="es-ES"/>
        </w:rPr>
        <w:t xml:space="preserve"> una correlación positiva</w:t>
      </w:r>
      <w:r w:rsidR="007D2509">
        <w:rPr>
          <w:rFonts w:ascii="Times New Roman" w:hAnsi="Times New Roman" w:cs="Times New Roman"/>
          <w:lang w:val="es-ES"/>
        </w:rPr>
        <w:t xml:space="preserve"> o no</w:t>
      </w:r>
      <w:r w:rsidRPr="008F1255">
        <w:rPr>
          <w:rFonts w:ascii="Times New Roman" w:hAnsi="Times New Roman" w:cs="Times New Roman"/>
          <w:lang w:val="es-ES"/>
        </w:rPr>
        <w:t xml:space="preserve"> entre rentabilidad y</w:t>
      </w:r>
      <w:r w:rsidR="009C6D12" w:rsidRPr="008F1255">
        <w:rPr>
          <w:rFonts w:ascii="Times New Roman" w:hAnsi="Times New Roman" w:cs="Times New Roman"/>
          <w:lang w:val="es-ES"/>
        </w:rPr>
        <w:t xml:space="preserve"> performance</w:t>
      </w:r>
      <w:r w:rsidRPr="008F1255">
        <w:rPr>
          <w:rFonts w:ascii="Times New Roman" w:hAnsi="Times New Roman" w:cs="Times New Roman"/>
          <w:lang w:val="es-ES"/>
        </w:rPr>
        <w:t xml:space="preserve"> ESG.</w:t>
      </w:r>
    </w:p>
    <w:p w:rsidR="0031262B" w:rsidRPr="008F1255" w:rsidRDefault="0031262B" w:rsidP="00E31EEF">
      <w:pPr>
        <w:jc w:val="both"/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b/>
          <w:lang w:val="es-ES"/>
        </w:rPr>
        <w:t>2.2.</w:t>
      </w:r>
      <w:r w:rsidRPr="008F1255">
        <w:rPr>
          <w:rFonts w:ascii="Times New Roman" w:hAnsi="Times New Roman" w:cs="Times New Roman"/>
          <w:lang w:val="es-ES"/>
        </w:rPr>
        <w:t xml:space="preserve"> </w:t>
      </w:r>
      <w:r w:rsidR="00CD29AF">
        <w:rPr>
          <w:rFonts w:ascii="Times New Roman" w:hAnsi="Times New Roman" w:cs="Times New Roman"/>
          <w:b/>
          <w:lang w:val="es-ES"/>
        </w:rPr>
        <w:t>Motivación del tema.</w:t>
      </w:r>
    </w:p>
    <w:p w:rsidR="00E31EEF" w:rsidRDefault="00E31EEF" w:rsidP="00E31EEF">
      <w:pPr>
        <w:jc w:val="both"/>
        <w:rPr>
          <w:rFonts w:ascii="Times New Roman" w:hAnsi="Times New Roman" w:cs="Times New Roman"/>
          <w:lang w:val="es-ES"/>
        </w:rPr>
      </w:pPr>
      <w:r w:rsidRPr="008F1255">
        <w:rPr>
          <w:rFonts w:ascii="Times New Roman" w:hAnsi="Times New Roman" w:cs="Times New Roman"/>
          <w:lang w:val="es-ES"/>
        </w:rPr>
        <w:t xml:space="preserve">El tema objeto de nuestro análisis fue elegido </w:t>
      </w:r>
      <w:r w:rsidR="009C6D12" w:rsidRPr="008F1255">
        <w:rPr>
          <w:rFonts w:ascii="Times New Roman" w:hAnsi="Times New Roman" w:cs="Times New Roman"/>
          <w:lang w:val="es-ES"/>
        </w:rPr>
        <w:t>dadas</w:t>
      </w:r>
      <w:r w:rsidRPr="008F1255">
        <w:rPr>
          <w:rFonts w:ascii="Times New Roman" w:hAnsi="Times New Roman" w:cs="Times New Roman"/>
          <w:lang w:val="es-ES"/>
        </w:rPr>
        <w:t xml:space="preserve"> sus características de fenómeno actual, relevante del corto al largo plazo, </w:t>
      </w:r>
      <w:r w:rsidR="00DF5B3E">
        <w:rPr>
          <w:rFonts w:ascii="Times New Roman" w:hAnsi="Times New Roman" w:cs="Times New Roman"/>
          <w:lang w:val="es-ES"/>
        </w:rPr>
        <w:t>cuyas características asientan en</w:t>
      </w:r>
      <w:r w:rsidRPr="008F1255">
        <w:rPr>
          <w:rFonts w:ascii="Times New Roman" w:hAnsi="Times New Roman" w:cs="Times New Roman"/>
          <w:lang w:val="es-ES"/>
        </w:rPr>
        <w:t xml:space="preserve"> principios </w:t>
      </w:r>
      <w:r w:rsidR="009C6D12" w:rsidRPr="008F1255">
        <w:rPr>
          <w:rFonts w:ascii="Times New Roman" w:hAnsi="Times New Roman" w:cs="Times New Roman"/>
          <w:lang w:val="es-ES"/>
        </w:rPr>
        <w:t xml:space="preserve">positivos </w:t>
      </w:r>
      <w:r w:rsidRPr="008F1255">
        <w:rPr>
          <w:rFonts w:ascii="Times New Roman" w:hAnsi="Times New Roman" w:cs="Times New Roman"/>
          <w:lang w:val="es-ES"/>
        </w:rPr>
        <w:t xml:space="preserve">de rentabilidad económica y financiera para alcanzar un ecosistema empresarial más sostenible al longo de toda la cadena de </w:t>
      </w:r>
      <w:r w:rsidR="008E3716" w:rsidRPr="008F1255">
        <w:rPr>
          <w:rFonts w:ascii="Times New Roman" w:hAnsi="Times New Roman" w:cs="Times New Roman"/>
          <w:lang w:val="es-ES"/>
        </w:rPr>
        <w:t>suministro</w:t>
      </w:r>
      <w:r w:rsidRPr="008F1255">
        <w:rPr>
          <w:rFonts w:ascii="Times New Roman" w:hAnsi="Times New Roman" w:cs="Times New Roman"/>
          <w:lang w:val="es-ES"/>
        </w:rPr>
        <w:t xml:space="preserve"> de una </w:t>
      </w:r>
      <w:r w:rsidR="0051761B" w:rsidRPr="008F1255">
        <w:rPr>
          <w:rFonts w:ascii="Times New Roman" w:hAnsi="Times New Roman" w:cs="Times New Roman"/>
          <w:lang w:val="es-ES"/>
        </w:rPr>
        <w:t>compañía</w:t>
      </w:r>
      <w:r w:rsidRPr="008F1255">
        <w:rPr>
          <w:rFonts w:ascii="Times New Roman" w:hAnsi="Times New Roman" w:cs="Times New Roman"/>
          <w:lang w:val="es-ES"/>
        </w:rPr>
        <w:t xml:space="preserve">, incluyendo todos los individuos que en ella participan y la </w:t>
      </w:r>
      <w:r w:rsidR="008E3716" w:rsidRPr="008F1255">
        <w:rPr>
          <w:rFonts w:ascii="Times New Roman" w:hAnsi="Times New Roman" w:cs="Times New Roman"/>
          <w:lang w:val="es-ES"/>
        </w:rPr>
        <w:t>comunidad</w:t>
      </w:r>
      <w:r w:rsidRPr="008F1255">
        <w:rPr>
          <w:rFonts w:ascii="Times New Roman" w:hAnsi="Times New Roman" w:cs="Times New Roman"/>
          <w:lang w:val="es-ES"/>
        </w:rPr>
        <w:t xml:space="preserve"> donde se integra.</w:t>
      </w:r>
      <w:r w:rsidR="008E3716" w:rsidRPr="008F1255">
        <w:rPr>
          <w:rFonts w:ascii="Times New Roman" w:hAnsi="Times New Roman" w:cs="Times New Roman"/>
          <w:lang w:val="es-ES"/>
        </w:rPr>
        <w:t xml:space="preserve"> </w:t>
      </w:r>
    </w:p>
    <w:p w:rsidR="005A4415" w:rsidRDefault="005A4415" w:rsidP="00E31EEF">
      <w:pPr>
        <w:jc w:val="both"/>
        <w:rPr>
          <w:rFonts w:ascii="Times New Roman" w:hAnsi="Times New Roman" w:cs="Times New Roman"/>
          <w:lang w:val="es-ES"/>
        </w:rPr>
      </w:pPr>
    </w:p>
    <w:p w:rsidR="008C1236" w:rsidRPr="008F1255" w:rsidRDefault="0031262B" w:rsidP="008C1236">
      <w:pPr>
        <w:rPr>
          <w:rFonts w:ascii="Times New Roman" w:hAnsi="Times New Roman" w:cs="Times New Roman"/>
          <w:b/>
          <w:lang w:val="es-ES"/>
        </w:rPr>
      </w:pPr>
      <w:r w:rsidRPr="008F1255">
        <w:rPr>
          <w:rFonts w:ascii="Times New Roman" w:hAnsi="Times New Roman" w:cs="Times New Roman"/>
          <w:b/>
          <w:lang w:val="es-ES"/>
        </w:rPr>
        <w:t xml:space="preserve">2.3. </w:t>
      </w:r>
      <w:r w:rsidR="00CD29AF">
        <w:rPr>
          <w:rFonts w:ascii="Times New Roman" w:hAnsi="Times New Roman" w:cs="Times New Roman"/>
          <w:b/>
          <w:lang w:val="es-ES"/>
        </w:rPr>
        <w:t>Método de análisis</w:t>
      </w:r>
      <w:r w:rsidR="00B95647">
        <w:rPr>
          <w:rFonts w:ascii="Times New Roman" w:hAnsi="Times New Roman" w:cs="Times New Roman"/>
          <w:b/>
          <w:lang w:val="es-ES"/>
        </w:rPr>
        <w:t>.</w:t>
      </w:r>
    </w:p>
    <w:p w:rsidR="005A4415" w:rsidRDefault="007D2509" w:rsidP="007D2509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Este proyecto tendrá dos métodos de analice al nuestro concepto de Inversión Responsable: el teórico y dl práctico. Por un lado, un método de pesquisa teórica de forma a compilar las definiciones de Inversión Responsable proporcionadas por la doctrina y profesionales de la industria al largo del tiempo, así como, los eventos clave que ayudaron a definir el objeto de nuestro estudio como lo conocemos hoy. Por otro lado, una abordaje practica basada en</w:t>
      </w:r>
      <w:r w:rsidR="009C6D12" w:rsidRPr="008F1255">
        <w:rPr>
          <w:rFonts w:ascii="Times New Roman" w:hAnsi="Times New Roman" w:cs="Times New Roman"/>
          <w:lang w:val="es-ES"/>
        </w:rPr>
        <w:t xml:space="preserve"> análisis de indicadores de performance </w:t>
      </w:r>
      <w:r w:rsidR="00C044A4" w:rsidRPr="008F1255">
        <w:rPr>
          <w:rFonts w:ascii="Times New Roman" w:hAnsi="Times New Roman" w:cs="Times New Roman"/>
          <w:lang w:val="es-ES"/>
        </w:rPr>
        <w:t xml:space="preserve">de una </w:t>
      </w:r>
      <w:r w:rsidR="00CD29AF">
        <w:rPr>
          <w:rFonts w:ascii="Times New Roman" w:hAnsi="Times New Roman" w:cs="Times New Roman"/>
          <w:lang w:val="es-ES"/>
        </w:rPr>
        <w:t xml:space="preserve">muestra de </w:t>
      </w:r>
      <w:r w:rsidR="00C044A4" w:rsidRPr="008F1255">
        <w:rPr>
          <w:rFonts w:ascii="Times New Roman" w:hAnsi="Times New Roman" w:cs="Times New Roman"/>
          <w:lang w:val="es-ES"/>
        </w:rPr>
        <w:t>empresa</w:t>
      </w:r>
      <w:r w:rsidR="00CD29AF">
        <w:rPr>
          <w:rFonts w:ascii="Times New Roman" w:hAnsi="Times New Roman" w:cs="Times New Roman"/>
          <w:lang w:val="es-ES"/>
        </w:rPr>
        <w:t>s</w:t>
      </w:r>
      <w:r w:rsidR="00C044A4" w:rsidRPr="008F1255">
        <w:rPr>
          <w:rFonts w:ascii="Times New Roman" w:hAnsi="Times New Roman" w:cs="Times New Roman"/>
          <w:lang w:val="es-ES"/>
        </w:rPr>
        <w:t>, contrapuestos a su</w:t>
      </w:r>
      <w:r w:rsidR="009C6D12" w:rsidRPr="008F1255">
        <w:rPr>
          <w:rFonts w:ascii="Times New Roman" w:hAnsi="Times New Roman" w:cs="Times New Roman"/>
          <w:lang w:val="es-ES"/>
        </w:rPr>
        <w:t xml:space="preserve"> nivel de ESG para </w:t>
      </w:r>
      <w:r w:rsidR="00CD29AF">
        <w:rPr>
          <w:rFonts w:ascii="Times New Roman" w:hAnsi="Times New Roman" w:cs="Times New Roman"/>
          <w:lang w:val="es-ES"/>
        </w:rPr>
        <w:t>observar se hay</w:t>
      </w:r>
      <w:r w:rsidR="00DF5B3E">
        <w:rPr>
          <w:rFonts w:ascii="Times New Roman" w:hAnsi="Times New Roman" w:cs="Times New Roman"/>
          <w:lang w:val="es-ES"/>
        </w:rPr>
        <w:t xml:space="preserve"> o no</w:t>
      </w:r>
      <w:r w:rsidR="00CD29AF">
        <w:rPr>
          <w:rFonts w:ascii="Times New Roman" w:hAnsi="Times New Roman" w:cs="Times New Roman"/>
          <w:lang w:val="es-ES"/>
        </w:rPr>
        <w:t xml:space="preserve"> una posible</w:t>
      </w:r>
      <w:r w:rsidR="009C6D12" w:rsidRPr="008F1255">
        <w:rPr>
          <w:rFonts w:ascii="Times New Roman" w:hAnsi="Times New Roman" w:cs="Times New Roman"/>
          <w:lang w:val="es-ES"/>
        </w:rPr>
        <w:t xml:space="preserve"> </w:t>
      </w:r>
      <w:r w:rsidR="00C044A4" w:rsidRPr="008F1255">
        <w:rPr>
          <w:rFonts w:ascii="Times New Roman" w:hAnsi="Times New Roman" w:cs="Times New Roman"/>
          <w:lang w:val="es-ES"/>
        </w:rPr>
        <w:t>correlación</w:t>
      </w:r>
      <w:r>
        <w:rPr>
          <w:rFonts w:ascii="Times New Roman" w:hAnsi="Times New Roman" w:cs="Times New Roman"/>
          <w:lang w:val="es-ES"/>
        </w:rPr>
        <w:t xml:space="preserve"> en </w:t>
      </w:r>
      <w:r>
        <w:rPr>
          <w:rFonts w:ascii="Times New Roman" w:hAnsi="Times New Roman" w:cs="Times New Roman"/>
          <w:lang w:val="es-ES"/>
        </w:rPr>
        <w:lastRenderedPageBreak/>
        <w:t>performance financiera y sostenible del punto de vista ESG</w:t>
      </w:r>
      <w:r w:rsidR="00DF5B3E">
        <w:rPr>
          <w:rFonts w:ascii="Times New Roman" w:hAnsi="Times New Roman" w:cs="Times New Roman"/>
          <w:lang w:val="es-ES"/>
        </w:rPr>
        <w:t>.</w:t>
      </w:r>
      <w:r w:rsidR="00C044A4" w:rsidRPr="008F1255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El</w:t>
      </w:r>
      <w:r w:rsidR="00CD29AF">
        <w:rPr>
          <w:rFonts w:ascii="Times New Roman" w:hAnsi="Times New Roman" w:cs="Times New Roman"/>
          <w:lang w:val="es-ES"/>
        </w:rPr>
        <w:t xml:space="preserve"> </w:t>
      </w:r>
      <w:r w:rsidR="00DF5B3E">
        <w:rPr>
          <w:rFonts w:ascii="Times New Roman" w:hAnsi="Times New Roman" w:cs="Times New Roman"/>
          <w:lang w:val="es-ES"/>
        </w:rPr>
        <w:t>objetivo</w:t>
      </w:r>
      <w:r w:rsidR="00C044A4" w:rsidRPr="008F1255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es</w:t>
      </w:r>
      <w:r w:rsidR="00DF5B3E">
        <w:rPr>
          <w:rFonts w:ascii="Times New Roman" w:hAnsi="Times New Roman" w:cs="Times New Roman"/>
          <w:lang w:val="es-ES"/>
        </w:rPr>
        <w:t xml:space="preserve"> indagar</w:t>
      </w:r>
      <w:r w:rsidR="00C044A4" w:rsidRPr="008F1255">
        <w:rPr>
          <w:rFonts w:ascii="Times New Roman" w:hAnsi="Times New Roman" w:cs="Times New Roman"/>
          <w:lang w:val="es-ES"/>
        </w:rPr>
        <w:t xml:space="preserve"> </w:t>
      </w:r>
      <w:r w:rsidR="00DF5B3E">
        <w:rPr>
          <w:rFonts w:ascii="Times New Roman" w:hAnsi="Times New Roman" w:cs="Times New Roman"/>
          <w:lang w:val="es-ES"/>
        </w:rPr>
        <w:t xml:space="preserve">si </w:t>
      </w:r>
      <w:r w:rsidR="00C044A4" w:rsidRPr="008F1255">
        <w:rPr>
          <w:rFonts w:ascii="Times New Roman" w:hAnsi="Times New Roman" w:cs="Times New Roman"/>
          <w:lang w:val="es-ES"/>
        </w:rPr>
        <w:t>es posible una inversión y una empresa rentable cuando</w:t>
      </w:r>
      <w:r w:rsidR="00DF5B3E">
        <w:rPr>
          <w:rFonts w:ascii="Times New Roman" w:hAnsi="Times New Roman" w:cs="Times New Roman"/>
          <w:lang w:val="es-ES"/>
        </w:rPr>
        <w:t xml:space="preserve"> fundamentalmente</w:t>
      </w:r>
      <w:r w:rsidR="00C044A4" w:rsidRPr="008F1255">
        <w:rPr>
          <w:rFonts w:ascii="Times New Roman" w:hAnsi="Times New Roman" w:cs="Times New Roman"/>
          <w:lang w:val="es-ES"/>
        </w:rPr>
        <w:t xml:space="preserve"> orientada por padrones ESG</w:t>
      </w:r>
      <w:r w:rsidR="009C6D12" w:rsidRPr="008F1255">
        <w:rPr>
          <w:rFonts w:ascii="Times New Roman" w:hAnsi="Times New Roman" w:cs="Times New Roman"/>
          <w:lang w:val="es-ES"/>
        </w:rPr>
        <w:t xml:space="preserve">. </w:t>
      </w:r>
      <w:r w:rsidR="00DF5B3E">
        <w:rPr>
          <w:rFonts w:ascii="Times New Roman" w:hAnsi="Times New Roman" w:cs="Times New Roman"/>
          <w:lang w:val="es-ES"/>
        </w:rPr>
        <w:t>Un número de</w:t>
      </w:r>
      <w:r w:rsidR="009C6D12" w:rsidRPr="008F1255">
        <w:rPr>
          <w:rFonts w:ascii="Times New Roman" w:hAnsi="Times New Roman" w:cs="Times New Roman"/>
          <w:lang w:val="es-ES"/>
        </w:rPr>
        <w:t xml:space="preserve"> empresas </w:t>
      </w:r>
      <w:r w:rsidR="00DF5B3E">
        <w:rPr>
          <w:rFonts w:ascii="Times New Roman" w:hAnsi="Times New Roman" w:cs="Times New Roman"/>
          <w:lang w:val="es-ES"/>
        </w:rPr>
        <w:t xml:space="preserve">a definir </w:t>
      </w:r>
      <w:r w:rsidR="009C6D12" w:rsidRPr="008F1255">
        <w:rPr>
          <w:rFonts w:ascii="Times New Roman" w:hAnsi="Times New Roman" w:cs="Times New Roman"/>
          <w:lang w:val="es-ES"/>
        </w:rPr>
        <w:t xml:space="preserve">del índice S&amp;P 500 </w:t>
      </w:r>
      <w:r>
        <w:rPr>
          <w:rFonts w:ascii="Times New Roman" w:hAnsi="Times New Roman" w:cs="Times New Roman"/>
          <w:lang w:val="es-ES"/>
        </w:rPr>
        <w:t xml:space="preserve">compondrán </w:t>
      </w:r>
      <w:r w:rsidR="009C6D12" w:rsidRPr="008F1255">
        <w:rPr>
          <w:rFonts w:ascii="Times New Roman" w:hAnsi="Times New Roman" w:cs="Times New Roman"/>
          <w:lang w:val="es-ES"/>
        </w:rPr>
        <w:t xml:space="preserve">la amuestra del estudio en su vertiente práctica. Los niveles de ESG </w:t>
      </w:r>
      <w:r w:rsidR="00C044A4" w:rsidRPr="008F1255">
        <w:rPr>
          <w:rFonts w:ascii="Times New Roman" w:hAnsi="Times New Roman" w:cs="Times New Roman"/>
          <w:lang w:val="es-ES"/>
        </w:rPr>
        <w:t>serán</w:t>
      </w:r>
      <w:r w:rsidR="009C6D12" w:rsidRPr="008F1255">
        <w:rPr>
          <w:rFonts w:ascii="Times New Roman" w:hAnsi="Times New Roman" w:cs="Times New Roman"/>
          <w:lang w:val="es-ES"/>
        </w:rPr>
        <w:t xml:space="preserve"> valorados por medio de la herramienta de rating de </w:t>
      </w:r>
      <w:r>
        <w:rPr>
          <w:rFonts w:ascii="Times New Roman" w:hAnsi="Times New Roman" w:cs="Times New Roman"/>
          <w:lang w:val="es-ES"/>
        </w:rPr>
        <w:t xml:space="preserve">la empresa </w:t>
      </w:r>
      <w:r w:rsidR="009C6D12" w:rsidRPr="008F1255">
        <w:rPr>
          <w:rFonts w:ascii="Times New Roman" w:hAnsi="Times New Roman" w:cs="Times New Roman"/>
          <w:lang w:val="es-ES"/>
        </w:rPr>
        <w:t>Arabesque</w:t>
      </w:r>
      <w:r w:rsidR="00331A3B">
        <w:rPr>
          <w:rFonts w:ascii="Times New Roman" w:hAnsi="Times New Roman" w:cs="Times New Roman"/>
          <w:lang w:val="es-ES"/>
        </w:rPr>
        <w:t>,</w:t>
      </w:r>
      <w:r w:rsidR="009C6D12" w:rsidRPr="008F1255">
        <w:rPr>
          <w:rFonts w:ascii="Times New Roman" w:hAnsi="Times New Roman" w:cs="Times New Roman"/>
          <w:lang w:val="es-ES"/>
        </w:rPr>
        <w:t xml:space="preserve"> </w:t>
      </w:r>
      <w:r w:rsidR="00331A3B">
        <w:rPr>
          <w:rFonts w:ascii="Times New Roman" w:hAnsi="Times New Roman" w:cs="Times New Roman"/>
          <w:lang w:val="es-ES"/>
        </w:rPr>
        <w:t xml:space="preserve">el </w:t>
      </w:r>
      <w:r>
        <w:rPr>
          <w:rFonts w:ascii="Times New Roman" w:hAnsi="Times New Roman" w:cs="Times New Roman"/>
          <w:lang w:val="es-ES"/>
        </w:rPr>
        <w:t xml:space="preserve">aplicativo </w:t>
      </w:r>
      <w:r w:rsidR="009C6D12" w:rsidRPr="008F1255">
        <w:rPr>
          <w:rFonts w:ascii="Times New Roman" w:hAnsi="Times New Roman" w:cs="Times New Roman"/>
          <w:lang w:val="es-ES"/>
        </w:rPr>
        <w:t>S-</w:t>
      </w:r>
      <w:r w:rsidR="00C044A4" w:rsidRPr="008F1255">
        <w:rPr>
          <w:rFonts w:ascii="Times New Roman" w:hAnsi="Times New Roman" w:cs="Times New Roman"/>
          <w:lang w:val="es-ES"/>
        </w:rPr>
        <w:t>Ray.</w:t>
      </w:r>
    </w:p>
    <w:p w:rsidR="007D2509" w:rsidRPr="007D2509" w:rsidRDefault="007D2509" w:rsidP="007D2509">
      <w:pPr>
        <w:jc w:val="both"/>
        <w:rPr>
          <w:rFonts w:ascii="Times New Roman" w:hAnsi="Times New Roman" w:cs="Times New Roman"/>
          <w:lang w:val="es-ES"/>
        </w:rPr>
      </w:pPr>
    </w:p>
    <w:p w:rsidR="00721D73" w:rsidRPr="008F1255" w:rsidRDefault="0031262B" w:rsidP="008C1236">
      <w:pPr>
        <w:rPr>
          <w:rFonts w:ascii="Times New Roman" w:hAnsi="Times New Roman" w:cs="Times New Roman"/>
          <w:b/>
          <w:lang w:val="es-ES"/>
        </w:rPr>
      </w:pPr>
      <w:r w:rsidRPr="008F1255">
        <w:rPr>
          <w:rFonts w:ascii="Times New Roman" w:hAnsi="Times New Roman" w:cs="Times New Roman"/>
          <w:b/>
          <w:lang w:val="es-ES"/>
        </w:rPr>
        <w:t xml:space="preserve">2.4. </w:t>
      </w:r>
      <w:r w:rsidR="00CD29AF">
        <w:rPr>
          <w:rFonts w:ascii="Times New Roman" w:hAnsi="Times New Roman" w:cs="Times New Roman"/>
          <w:b/>
          <w:lang w:val="es-ES"/>
        </w:rPr>
        <w:t>E</w:t>
      </w:r>
      <w:r w:rsidRPr="008F1255">
        <w:rPr>
          <w:rFonts w:ascii="Times New Roman" w:hAnsi="Times New Roman" w:cs="Times New Roman"/>
          <w:b/>
          <w:lang w:val="es-ES"/>
        </w:rPr>
        <w:t>stru</w:t>
      </w:r>
      <w:r w:rsidR="00CD29AF">
        <w:rPr>
          <w:rFonts w:ascii="Times New Roman" w:hAnsi="Times New Roman" w:cs="Times New Roman"/>
          <w:b/>
          <w:lang w:val="es-ES"/>
        </w:rPr>
        <w:t>ctura.</w:t>
      </w:r>
    </w:p>
    <w:p w:rsidR="0051761B" w:rsidRPr="008F1255" w:rsidRDefault="007D2509" w:rsidP="0051761B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El proyecto partirá desde la</w:t>
      </w:r>
      <w:r w:rsidR="0051761B" w:rsidRPr="008F1255">
        <w:rPr>
          <w:rFonts w:ascii="Times New Roman" w:hAnsi="Times New Roman" w:cs="Times New Roman"/>
          <w:lang w:val="es-ES"/>
        </w:rPr>
        <w:t xml:space="preserve"> introducción </w:t>
      </w:r>
      <w:r w:rsidR="00DF5B3E">
        <w:rPr>
          <w:rFonts w:ascii="Times New Roman" w:hAnsi="Times New Roman" w:cs="Times New Roman"/>
          <w:lang w:val="es-ES"/>
        </w:rPr>
        <w:t xml:space="preserve">teórica e </w:t>
      </w:r>
      <w:r w:rsidR="0051761B" w:rsidRPr="008F1255">
        <w:rPr>
          <w:rFonts w:ascii="Times New Roman" w:hAnsi="Times New Roman" w:cs="Times New Roman"/>
          <w:lang w:val="es-ES"/>
        </w:rPr>
        <w:t>histórica</w:t>
      </w:r>
      <w:r w:rsidR="00DF5B3E">
        <w:rPr>
          <w:rFonts w:ascii="Times New Roman" w:hAnsi="Times New Roman" w:cs="Times New Roman"/>
          <w:lang w:val="es-ES"/>
        </w:rPr>
        <w:t>,</w:t>
      </w:r>
      <w:r w:rsidR="0051761B" w:rsidRPr="008F1255">
        <w:rPr>
          <w:rFonts w:ascii="Times New Roman" w:hAnsi="Times New Roman" w:cs="Times New Roman"/>
          <w:lang w:val="es-ES"/>
        </w:rPr>
        <w:t xml:space="preserve"> considerando los eventos clave que permitieron el desarrollo de nuestro objeto de estudio</w:t>
      </w:r>
      <w:r>
        <w:rPr>
          <w:rFonts w:ascii="Times New Roman" w:hAnsi="Times New Roman" w:cs="Times New Roman"/>
          <w:lang w:val="es-ES"/>
        </w:rPr>
        <w:t xml:space="preserve"> al largo del tiempo</w:t>
      </w:r>
      <w:r w:rsidR="0051761B" w:rsidRPr="008F1255">
        <w:rPr>
          <w:rFonts w:ascii="Times New Roman" w:hAnsi="Times New Roman" w:cs="Times New Roman"/>
          <w:lang w:val="es-ES"/>
        </w:rPr>
        <w:t xml:space="preserve">, para en seguida disecar todas las componentes del fenómeno </w:t>
      </w:r>
      <w:r w:rsidR="009C234D">
        <w:rPr>
          <w:rFonts w:ascii="Times New Roman" w:hAnsi="Times New Roman" w:cs="Times New Roman"/>
          <w:lang w:val="es-ES"/>
        </w:rPr>
        <w:t xml:space="preserve">de la Inversión responsable o </w:t>
      </w:r>
      <w:r w:rsidR="0051761B" w:rsidRPr="008F1255">
        <w:rPr>
          <w:rFonts w:ascii="Times New Roman" w:hAnsi="Times New Roman" w:cs="Times New Roman"/>
          <w:lang w:val="es-ES"/>
        </w:rPr>
        <w:t xml:space="preserve">ESG y de Impact Investing en el panorama teórico. </w:t>
      </w:r>
      <w:r>
        <w:rPr>
          <w:rFonts w:ascii="Times New Roman" w:hAnsi="Times New Roman" w:cs="Times New Roman"/>
          <w:lang w:val="es-ES"/>
        </w:rPr>
        <w:t>Serán analizados</w:t>
      </w:r>
      <w:r w:rsidR="0051761B" w:rsidRPr="008F1255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el</w:t>
      </w:r>
      <w:r w:rsidR="0051761B" w:rsidRPr="008F1255">
        <w:rPr>
          <w:rFonts w:ascii="Times New Roman" w:hAnsi="Times New Roman" w:cs="Times New Roman"/>
          <w:lang w:val="es-ES"/>
        </w:rPr>
        <w:t xml:space="preserve"> carácter práctico con situaciones reales con base en amuestras de empresas cuoteadas en el mercado, buscando una correlación entre performance financiera y principios ESG de forma a ilustrar nuestros principios teóricos con datos reales.</w:t>
      </w:r>
    </w:p>
    <w:p w:rsidR="00C044A4" w:rsidRPr="008F1255" w:rsidRDefault="00C044A4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7D2509" w:rsidRDefault="007D2509" w:rsidP="00C044A4">
      <w:pPr>
        <w:rPr>
          <w:rFonts w:ascii="Times New Roman" w:hAnsi="Times New Roman" w:cs="Times New Roman"/>
          <w:b/>
          <w:lang w:val="es-ES"/>
        </w:rPr>
      </w:pPr>
    </w:p>
    <w:p w:rsidR="007D2509" w:rsidRDefault="007D2509" w:rsidP="00C044A4">
      <w:pPr>
        <w:rPr>
          <w:rFonts w:ascii="Times New Roman" w:hAnsi="Times New Roman" w:cs="Times New Roman"/>
          <w:b/>
          <w:lang w:val="es-ES"/>
        </w:rPr>
      </w:pPr>
    </w:p>
    <w:p w:rsidR="0051761B" w:rsidRPr="008F1255" w:rsidRDefault="00C044A4" w:rsidP="00C044A4">
      <w:pPr>
        <w:rPr>
          <w:rFonts w:ascii="Times New Roman" w:hAnsi="Times New Roman" w:cs="Times New Roman"/>
          <w:b/>
          <w:lang w:val="es-ES"/>
        </w:rPr>
      </w:pPr>
      <w:r w:rsidRPr="008F1255">
        <w:rPr>
          <w:rFonts w:ascii="Times New Roman" w:hAnsi="Times New Roman" w:cs="Times New Roman"/>
          <w:b/>
          <w:lang w:val="es-ES"/>
        </w:rPr>
        <w:lastRenderedPageBreak/>
        <w:t>3. Hipótesis del trabajo.</w:t>
      </w:r>
    </w:p>
    <w:p w:rsidR="005B2F63" w:rsidRDefault="00FF04E8" w:rsidP="00C044A4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este ámbito, el proyecto cruzará indicadores de performance (como Capitalización de Mercado, ROI, EBIT o EBITDA) de las empresas del S&amp;P500</w:t>
      </w:r>
      <w:r w:rsidR="00C31546" w:rsidRPr="00C31546">
        <w:rPr>
          <w:rFonts w:ascii="Times New Roman" w:hAnsi="Times New Roman" w:cs="Times New Roman"/>
          <w:lang w:val="es-ES"/>
        </w:rPr>
        <w:t>*</w:t>
      </w:r>
      <w:r>
        <w:rPr>
          <w:rFonts w:ascii="Times New Roman" w:hAnsi="Times New Roman" w:cs="Times New Roman"/>
          <w:lang w:val="es-ES"/>
        </w:rPr>
        <w:t xml:space="preserve"> con métricas </w:t>
      </w:r>
      <w:r w:rsidR="00C31546">
        <w:rPr>
          <w:rFonts w:ascii="Times New Roman" w:hAnsi="Times New Roman" w:cs="Times New Roman"/>
          <w:lang w:val="es-ES"/>
        </w:rPr>
        <w:t>de performance ESG**</w:t>
      </w:r>
      <w:r w:rsidR="00304C64">
        <w:rPr>
          <w:rFonts w:ascii="Times New Roman" w:hAnsi="Times New Roman" w:cs="Times New Roman"/>
          <w:lang w:val="es-ES"/>
        </w:rPr>
        <w:t>.</w:t>
      </w:r>
    </w:p>
    <w:p w:rsidR="005B2F63" w:rsidRDefault="005B2F63" w:rsidP="00C044A4">
      <w:pPr>
        <w:rPr>
          <w:rFonts w:ascii="Times New Roman" w:hAnsi="Times New Roman" w:cs="Times New Roman"/>
          <w:lang w:val="es-ES"/>
        </w:rPr>
      </w:pPr>
    </w:p>
    <w:p w:rsidR="0052144E" w:rsidRPr="00FF04E8" w:rsidRDefault="005B2F63" w:rsidP="00C044A4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*</w:t>
      </w:r>
      <w:r w:rsidR="00FF04E8">
        <w:rPr>
          <w:rFonts w:ascii="Times New Roman" w:hAnsi="Times New Roman" w:cs="Times New Roman"/>
          <w:lang w:val="es-ES"/>
        </w:rPr>
        <w:t>en criterio todavía a preestablecer entre</w:t>
      </w:r>
      <w:r w:rsidR="004C5F83">
        <w:rPr>
          <w:rFonts w:ascii="Times New Roman" w:hAnsi="Times New Roman" w:cs="Times New Roman"/>
          <w:lang w:val="es-ES"/>
        </w:rPr>
        <w:t xml:space="preserve"> dos posibles vías: 1- enfocar el análisis en una muestra de </w:t>
      </w:r>
      <w:r w:rsidR="00BD1EB5">
        <w:rPr>
          <w:rFonts w:ascii="Times New Roman" w:hAnsi="Times New Roman" w:cs="Times New Roman"/>
          <w:lang w:val="es-ES"/>
        </w:rPr>
        <w:t>x</w:t>
      </w:r>
      <w:r w:rsidR="004C5F83">
        <w:rPr>
          <w:rFonts w:ascii="Times New Roman" w:hAnsi="Times New Roman" w:cs="Times New Roman"/>
          <w:lang w:val="es-ES"/>
        </w:rPr>
        <w:t xml:space="preserve"> </w:t>
      </w:r>
      <w:r w:rsidR="00BD1EB5">
        <w:rPr>
          <w:rFonts w:ascii="Times New Roman" w:hAnsi="Times New Roman" w:cs="Times New Roman"/>
          <w:lang w:val="es-ES"/>
        </w:rPr>
        <w:t xml:space="preserve"> </w:t>
      </w:r>
      <w:r w:rsidR="004C5F83">
        <w:rPr>
          <w:rFonts w:ascii="Times New Roman" w:hAnsi="Times New Roman" w:cs="Times New Roman"/>
          <w:lang w:val="es-ES"/>
        </w:rPr>
        <w:t xml:space="preserve">empresas del S&amp;P 500 seleccionadas por los top </w:t>
      </w:r>
      <w:proofErr w:type="spellStart"/>
      <w:r w:rsidR="004C5F83">
        <w:rPr>
          <w:rFonts w:ascii="Times New Roman" w:hAnsi="Times New Roman" w:cs="Times New Roman"/>
          <w:lang w:val="es-ES"/>
        </w:rPr>
        <w:t>performers</w:t>
      </w:r>
      <w:proofErr w:type="spellEnd"/>
      <w:r w:rsidR="004C5F83">
        <w:rPr>
          <w:rFonts w:ascii="Times New Roman" w:hAnsi="Times New Roman" w:cs="Times New Roman"/>
          <w:lang w:val="es-ES"/>
        </w:rPr>
        <w:t xml:space="preserve"> </w:t>
      </w:r>
      <w:r w:rsidR="00BD1EB5">
        <w:rPr>
          <w:rFonts w:ascii="Times New Roman" w:hAnsi="Times New Roman" w:cs="Times New Roman"/>
          <w:lang w:val="es-ES"/>
        </w:rPr>
        <w:t>en</w:t>
      </w:r>
      <w:r w:rsidR="005A4415">
        <w:rPr>
          <w:rFonts w:ascii="Times New Roman" w:hAnsi="Times New Roman" w:cs="Times New Roman"/>
          <w:lang w:val="es-ES"/>
        </w:rPr>
        <w:t xml:space="preserve"> capitalización de </w:t>
      </w:r>
      <w:r w:rsidR="00664F4C">
        <w:rPr>
          <w:rFonts w:ascii="Times New Roman" w:hAnsi="Times New Roman" w:cs="Times New Roman"/>
          <w:lang w:val="es-ES"/>
        </w:rPr>
        <w:t>mercado</w:t>
      </w:r>
      <w:r w:rsidR="00BD1EB5">
        <w:rPr>
          <w:rFonts w:ascii="Times New Roman" w:hAnsi="Times New Roman" w:cs="Times New Roman"/>
          <w:lang w:val="es-ES"/>
        </w:rPr>
        <w:t xml:space="preserve"> o</w:t>
      </w:r>
      <w:r w:rsidR="00BD1EB5" w:rsidRPr="00BD1EB5">
        <w:rPr>
          <w:rFonts w:ascii="Times New Roman" w:hAnsi="Times New Roman" w:cs="Times New Roman"/>
          <w:lang w:val="es-ES"/>
        </w:rPr>
        <w:t>/y otro criterio</w:t>
      </w:r>
      <w:r w:rsidR="004C5F83">
        <w:rPr>
          <w:rFonts w:ascii="Times New Roman" w:hAnsi="Times New Roman" w:cs="Times New Roman"/>
          <w:lang w:val="es-ES"/>
        </w:rPr>
        <w:t>; 2- un análisis extenso a todas las 500 empresas del S&amp;P 500.</w:t>
      </w:r>
    </w:p>
    <w:p w:rsidR="0052144E" w:rsidRPr="00C31546" w:rsidRDefault="00C31546" w:rsidP="00C044A4">
      <w:pPr>
        <w:rPr>
          <w:rFonts w:ascii="Times New Roman" w:hAnsi="Times New Roman" w:cs="Times New Roman"/>
          <w:lang w:val="es-ES"/>
        </w:rPr>
      </w:pPr>
      <w:r w:rsidRPr="00C31546">
        <w:rPr>
          <w:rFonts w:ascii="Times New Roman" w:hAnsi="Times New Roman" w:cs="Times New Roman"/>
          <w:lang w:val="es-ES"/>
        </w:rPr>
        <w:t>**</w:t>
      </w:r>
      <w:r>
        <w:rPr>
          <w:rFonts w:ascii="Times New Roman" w:hAnsi="Times New Roman" w:cs="Times New Roman"/>
          <w:lang w:val="es-ES"/>
        </w:rPr>
        <w:t>como indicador de performance evaluada por parámetros ESG, la herramienta a utilizar es S-Ray, de Arabesque.</w:t>
      </w: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4C5F83" w:rsidRDefault="004C5F83" w:rsidP="00C044A4">
      <w:pPr>
        <w:rPr>
          <w:rFonts w:ascii="Times New Roman" w:hAnsi="Times New Roman" w:cs="Times New Roman"/>
          <w:b/>
          <w:lang w:val="es-ES"/>
        </w:rPr>
      </w:pPr>
    </w:p>
    <w:p w:rsidR="00C044A4" w:rsidRPr="008F1255" w:rsidRDefault="00C044A4" w:rsidP="00C044A4">
      <w:pPr>
        <w:rPr>
          <w:rFonts w:ascii="Times New Roman" w:hAnsi="Times New Roman" w:cs="Times New Roman"/>
          <w:b/>
          <w:lang w:val="es-ES"/>
        </w:rPr>
      </w:pPr>
      <w:r w:rsidRPr="008F1255">
        <w:rPr>
          <w:rFonts w:ascii="Times New Roman" w:hAnsi="Times New Roman" w:cs="Times New Roman"/>
          <w:b/>
          <w:lang w:val="es-ES"/>
        </w:rPr>
        <w:lastRenderedPageBreak/>
        <w:t>4. Metodología.</w:t>
      </w:r>
    </w:p>
    <w:p w:rsidR="001B1C79" w:rsidRDefault="004C7105" w:rsidP="00C3154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El presente proyecto</w:t>
      </w:r>
      <w:r w:rsidR="00452DA3" w:rsidRPr="008F1255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tendrá</w:t>
      </w:r>
      <w:r w:rsidR="00452DA3" w:rsidRPr="008F1255">
        <w:rPr>
          <w:rFonts w:ascii="Times New Roman" w:hAnsi="Times New Roman" w:cs="Times New Roman"/>
          <w:lang w:val="es-ES"/>
        </w:rPr>
        <w:t xml:space="preserve"> </w:t>
      </w:r>
      <w:r w:rsidR="00005522" w:rsidRPr="008F1255">
        <w:rPr>
          <w:rFonts w:ascii="Times New Roman" w:hAnsi="Times New Roman" w:cs="Times New Roman"/>
          <w:lang w:val="es-ES"/>
        </w:rPr>
        <w:t>el</w:t>
      </w:r>
      <w:r w:rsidR="00452DA3" w:rsidRPr="008F1255">
        <w:rPr>
          <w:rFonts w:ascii="Times New Roman" w:hAnsi="Times New Roman" w:cs="Times New Roman"/>
          <w:lang w:val="es-ES"/>
        </w:rPr>
        <w:t xml:space="preserve"> método de investigación como hilo co</w:t>
      </w:r>
      <w:r w:rsidR="00005522" w:rsidRPr="008F1255">
        <w:rPr>
          <w:rFonts w:ascii="Times New Roman" w:hAnsi="Times New Roman" w:cs="Times New Roman"/>
          <w:lang w:val="es-ES"/>
        </w:rPr>
        <w:t>nductor</w:t>
      </w:r>
      <w:r w:rsidR="00C31546">
        <w:rPr>
          <w:rFonts w:ascii="Times New Roman" w:hAnsi="Times New Roman" w:cs="Times New Roman"/>
          <w:lang w:val="es-ES"/>
        </w:rPr>
        <w:t xml:space="preserve"> para apurar la existencia o ausencia de una correlación entre sostenibilidad y materialidad financiera</w:t>
      </w:r>
      <w:r w:rsidR="00005522" w:rsidRPr="008F1255">
        <w:rPr>
          <w:rFonts w:ascii="Times New Roman" w:hAnsi="Times New Roman" w:cs="Times New Roman"/>
          <w:lang w:val="es-ES"/>
        </w:rPr>
        <w:t xml:space="preserve">. Siempre suportado por </w:t>
      </w:r>
      <w:r w:rsidR="00C31546">
        <w:rPr>
          <w:rFonts w:ascii="Times New Roman" w:hAnsi="Times New Roman" w:cs="Times New Roman"/>
          <w:lang w:val="es-ES"/>
        </w:rPr>
        <w:t>una</w:t>
      </w:r>
      <w:r w:rsidR="00005522" w:rsidRPr="008F1255">
        <w:rPr>
          <w:rFonts w:ascii="Times New Roman" w:hAnsi="Times New Roman" w:cs="Times New Roman"/>
          <w:lang w:val="es-ES"/>
        </w:rPr>
        <w:t xml:space="preserve"> analice de datos financieros reales y materiales de las empresas del índice S&amp;P 500</w:t>
      </w:r>
      <w:r w:rsidR="00234CFD">
        <w:rPr>
          <w:rFonts w:ascii="Times New Roman" w:hAnsi="Times New Roman" w:cs="Times New Roman"/>
          <w:lang w:val="es-ES"/>
        </w:rPr>
        <w:t xml:space="preserve">-- </w:t>
      </w:r>
      <w:r w:rsidR="00005522" w:rsidRPr="008F1255">
        <w:rPr>
          <w:rFonts w:ascii="Times New Roman" w:hAnsi="Times New Roman" w:cs="Times New Roman"/>
          <w:lang w:val="es-ES"/>
        </w:rPr>
        <w:t>la muestra seleccionada para el desarrollo de nuestro hipótesis practico.</w:t>
      </w:r>
      <w:r>
        <w:rPr>
          <w:rFonts w:ascii="Times New Roman" w:hAnsi="Times New Roman" w:cs="Times New Roman"/>
          <w:lang w:val="es-ES"/>
        </w:rPr>
        <w:t xml:space="preserve"> Teniendo las 500 empresas cotizadas en el mercado Estadunidense como </w:t>
      </w:r>
      <w:r w:rsidR="00234CFD">
        <w:rPr>
          <w:rFonts w:ascii="Times New Roman" w:hAnsi="Times New Roman" w:cs="Times New Roman"/>
          <w:lang w:val="es-ES"/>
        </w:rPr>
        <w:t>ob</w:t>
      </w:r>
      <w:r>
        <w:rPr>
          <w:rFonts w:ascii="Times New Roman" w:hAnsi="Times New Roman" w:cs="Times New Roman"/>
          <w:lang w:val="es-ES"/>
        </w:rPr>
        <w:t>jeto, atenderemos a índices de performance e indicadores de rentabilidad (con base en la información publicada trimestralmente por las compañías en sus páginas web</w:t>
      </w:r>
      <w:r w:rsidR="001B1C79">
        <w:rPr>
          <w:rFonts w:ascii="Times New Roman" w:hAnsi="Times New Roman" w:cs="Times New Roman"/>
          <w:lang w:val="es-ES"/>
        </w:rPr>
        <w:t xml:space="preserve"> para inversores</w:t>
      </w:r>
      <w:r>
        <w:rPr>
          <w:rFonts w:ascii="Times New Roman" w:hAnsi="Times New Roman" w:cs="Times New Roman"/>
          <w:lang w:val="es-ES"/>
        </w:rPr>
        <w:t xml:space="preserve">), cruzándolos con </w:t>
      </w:r>
      <w:r w:rsidR="001B1C79">
        <w:rPr>
          <w:rFonts w:ascii="Times New Roman" w:hAnsi="Times New Roman" w:cs="Times New Roman"/>
          <w:lang w:val="es-ES"/>
        </w:rPr>
        <w:t xml:space="preserve">métricas de ESG para verificar la existencia </w:t>
      </w:r>
      <w:r w:rsidR="00234CFD">
        <w:rPr>
          <w:rFonts w:ascii="Times New Roman" w:hAnsi="Times New Roman" w:cs="Times New Roman"/>
          <w:lang w:val="es-ES"/>
        </w:rPr>
        <w:t xml:space="preserve">(o no) </w:t>
      </w:r>
      <w:r w:rsidR="001B1C79">
        <w:rPr>
          <w:rFonts w:ascii="Times New Roman" w:hAnsi="Times New Roman" w:cs="Times New Roman"/>
          <w:lang w:val="es-ES"/>
        </w:rPr>
        <w:t xml:space="preserve">de una correlación. </w:t>
      </w:r>
    </w:p>
    <w:p w:rsidR="00452DA3" w:rsidRDefault="001B1C79" w:rsidP="00C3154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Antes de la demonstración práctica por medio de analice de datos en busca de correlaciones, el concepto ESG tendrá que ser </w:t>
      </w:r>
      <w:r w:rsidR="00C31546">
        <w:rPr>
          <w:rFonts w:ascii="Times New Roman" w:hAnsi="Times New Roman" w:cs="Times New Roman"/>
          <w:lang w:val="es-ES"/>
        </w:rPr>
        <w:t xml:space="preserve">sujeta a </w:t>
      </w:r>
      <w:r>
        <w:rPr>
          <w:rFonts w:ascii="Times New Roman" w:hAnsi="Times New Roman" w:cs="Times New Roman"/>
          <w:lang w:val="es-ES"/>
        </w:rPr>
        <w:t>una introducción teórica</w:t>
      </w:r>
      <w:r w:rsidR="000E09EE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de contextualización histórica,</w:t>
      </w:r>
      <w:r w:rsidR="000E09EE">
        <w:rPr>
          <w:rFonts w:ascii="Times New Roman" w:hAnsi="Times New Roman" w:cs="Times New Roman"/>
          <w:lang w:val="es-ES"/>
        </w:rPr>
        <w:t xml:space="preserve"> bien como una</w:t>
      </w:r>
      <w:r>
        <w:rPr>
          <w:rFonts w:ascii="Times New Roman" w:hAnsi="Times New Roman" w:cs="Times New Roman"/>
          <w:lang w:val="es-ES"/>
        </w:rPr>
        <w:t xml:space="preserve"> analice conceptual </w:t>
      </w:r>
      <w:r w:rsidR="000E09EE">
        <w:rPr>
          <w:rFonts w:ascii="Times New Roman" w:hAnsi="Times New Roman" w:cs="Times New Roman"/>
          <w:lang w:val="es-ES"/>
        </w:rPr>
        <w:t>de</w:t>
      </w:r>
      <w:r>
        <w:rPr>
          <w:rFonts w:ascii="Times New Roman" w:hAnsi="Times New Roman" w:cs="Times New Roman"/>
          <w:lang w:val="es-ES"/>
        </w:rPr>
        <w:t xml:space="preserve"> cada </w:t>
      </w:r>
      <w:r w:rsidR="00234CFD">
        <w:rPr>
          <w:rFonts w:ascii="Times New Roman" w:hAnsi="Times New Roman" w:cs="Times New Roman"/>
          <w:lang w:val="es-ES"/>
        </w:rPr>
        <w:t xml:space="preserve">uno de los tres componentes ESG, </w:t>
      </w:r>
      <w:r>
        <w:rPr>
          <w:rFonts w:ascii="Times New Roman" w:hAnsi="Times New Roman" w:cs="Times New Roman"/>
          <w:lang w:val="es-ES"/>
        </w:rPr>
        <w:t xml:space="preserve">suplantada por </w:t>
      </w:r>
      <w:r w:rsidR="00322C26">
        <w:rPr>
          <w:rFonts w:ascii="Times New Roman" w:hAnsi="Times New Roman" w:cs="Times New Roman"/>
          <w:lang w:val="es-ES"/>
        </w:rPr>
        <w:t>la</w:t>
      </w:r>
      <w:r>
        <w:rPr>
          <w:rFonts w:ascii="Times New Roman" w:hAnsi="Times New Roman" w:cs="Times New Roman"/>
          <w:lang w:val="es-ES"/>
        </w:rPr>
        <w:t xml:space="preserve"> bibliográfica</w:t>
      </w:r>
      <w:r w:rsidR="00322C26">
        <w:rPr>
          <w:rFonts w:ascii="Times New Roman" w:hAnsi="Times New Roman" w:cs="Times New Roman"/>
          <w:lang w:val="es-ES"/>
        </w:rPr>
        <w:t xml:space="preserve"> </w:t>
      </w:r>
      <w:r w:rsidR="00C31546">
        <w:rPr>
          <w:rFonts w:ascii="Times New Roman" w:hAnsi="Times New Roman" w:cs="Times New Roman"/>
          <w:lang w:val="es-ES"/>
        </w:rPr>
        <w:t xml:space="preserve">y las fuentes online </w:t>
      </w:r>
      <w:r w:rsidR="00322C26" w:rsidRPr="00322C26">
        <w:rPr>
          <w:rFonts w:ascii="Times New Roman" w:hAnsi="Times New Roman" w:cs="Times New Roman"/>
          <w:i/>
          <w:lang w:val="es-ES"/>
        </w:rPr>
        <w:t>infra</w:t>
      </w:r>
      <w:r w:rsidR="00322C26">
        <w:rPr>
          <w:rFonts w:ascii="Times New Roman" w:hAnsi="Times New Roman" w:cs="Times New Roman"/>
          <w:lang w:val="es-ES"/>
        </w:rPr>
        <w:t xml:space="preserve"> mencionada</w:t>
      </w:r>
      <w:r w:rsidR="00C31546">
        <w:rPr>
          <w:rFonts w:ascii="Times New Roman" w:hAnsi="Times New Roman" w:cs="Times New Roman"/>
          <w:lang w:val="es-ES"/>
        </w:rPr>
        <w:t>s</w:t>
      </w:r>
      <w:r w:rsidR="009C234D">
        <w:rPr>
          <w:rFonts w:ascii="Times New Roman" w:hAnsi="Times New Roman" w:cs="Times New Roman"/>
          <w:lang w:val="es-ES"/>
        </w:rPr>
        <w:t>, bien como, otras a añadir al largo de la ejecución del proyecto</w:t>
      </w:r>
      <w:r w:rsidR="00322C26">
        <w:rPr>
          <w:rFonts w:ascii="Times New Roman" w:hAnsi="Times New Roman" w:cs="Times New Roman"/>
          <w:lang w:val="es-ES"/>
        </w:rPr>
        <w:t>.</w:t>
      </w:r>
      <w:r w:rsidR="000E09EE">
        <w:rPr>
          <w:rFonts w:ascii="Times New Roman" w:hAnsi="Times New Roman" w:cs="Times New Roman"/>
          <w:lang w:val="es-ES"/>
        </w:rPr>
        <w:t xml:space="preserve"> La componente de investigación teórica </w:t>
      </w:r>
      <w:r w:rsidR="00C31546">
        <w:rPr>
          <w:rFonts w:ascii="Times New Roman" w:hAnsi="Times New Roman" w:cs="Times New Roman"/>
          <w:lang w:val="es-ES"/>
        </w:rPr>
        <w:t>completa</w:t>
      </w:r>
      <w:r w:rsidR="000E09EE">
        <w:rPr>
          <w:rFonts w:ascii="Times New Roman" w:hAnsi="Times New Roman" w:cs="Times New Roman"/>
          <w:lang w:val="es-ES"/>
        </w:rPr>
        <w:t xml:space="preserve"> </w:t>
      </w:r>
      <w:r w:rsidR="00C31546">
        <w:rPr>
          <w:rFonts w:ascii="Times New Roman" w:hAnsi="Times New Roman" w:cs="Times New Roman"/>
          <w:lang w:val="es-ES"/>
        </w:rPr>
        <w:t xml:space="preserve">e integra </w:t>
      </w:r>
      <w:r w:rsidR="000E09EE">
        <w:rPr>
          <w:rFonts w:ascii="Times New Roman" w:hAnsi="Times New Roman" w:cs="Times New Roman"/>
          <w:lang w:val="es-ES"/>
        </w:rPr>
        <w:t>la analice práctica.</w:t>
      </w:r>
      <w:r w:rsidR="00C31546">
        <w:rPr>
          <w:rFonts w:ascii="Times New Roman" w:hAnsi="Times New Roman" w:cs="Times New Roman"/>
          <w:lang w:val="es-ES"/>
        </w:rPr>
        <w:t xml:space="preserve"> </w:t>
      </w:r>
    </w:p>
    <w:p w:rsidR="00C31546" w:rsidRPr="008F1255" w:rsidRDefault="00C31546" w:rsidP="00C31546">
      <w:pPr>
        <w:jc w:val="both"/>
        <w:rPr>
          <w:rFonts w:ascii="Times New Roman" w:hAnsi="Times New Roman" w:cs="Times New Roman"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287D09" w:rsidRPr="00B95647" w:rsidRDefault="0052144E" w:rsidP="00C044A4">
      <w:pPr>
        <w:rPr>
          <w:rFonts w:ascii="Times New Roman" w:hAnsi="Times New Roman" w:cs="Times New Roman"/>
          <w:b/>
        </w:rPr>
      </w:pPr>
      <w:r w:rsidRPr="00B95647">
        <w:rPr>
          <w:rFonts w:ascii="Times New Roman" w:hAnsi="Times New Roman" w:cs="Times New Roman"/>
          <w:b/>
        </w:rPr>
        <w:lastRenderedPageBreak/>
        <w:t>5</w:t>
      </w:r>
      <w:r w:rsidR="00C044A4" w:rsidRPr="00B95647">
        <w:rPr>
          <w:rFonts w:ascii="Times New Roman" w:hAnsi="Times New Roman" w:cs="Times New Roman"/>
          <w:b/>
        </w:rPr>
        <w:t xml:space="preserve">. </w:t>
      </w:r>
      <w:proofErr w:type="spellStart"/>
      <w:r w:rsidR="00C044A4" w:rsidRPr="00B95647">
        <w:rPr>
          <w:rFonts w:ascii="Times New Roman" w:hAnsi="Times New Roman" w:cs="Times New Roman"/>
          <w:b/>
        </w:rPr>
        <w:t>Bibliogra</w:t>
      </w:r>
      <w:bookmarkStart w:id="0" w:name="_GoBack"/>
      <w:bookmarkEnd w:id="0"/>
      <w:r w:rsidR="00C044A4" w:rsidRPr="00B95647">
        <w:rPr>
          <w:rFonts w:ascii="Times New Roman" w:hAnsi="Times New Roman" w:cs="Times New Roman"/>
          <w:b/>
        </w:rPr>
        <w:t>fía</w:t>
      </w:r>
      <w:proofErr w:type="spellEnd"/>
      <w:r w:rsidR="00C044A4" w:rsidRPr="00B95647">
        <w:rPr>
          <w:rFonts w:ascii="Times New Roman" w:hAnsi="Times New Roman" w:cs="Times New Roman"/>
          <w:b/>
        </w:rPr>
        <w:t xml:space="preserve"> a </w:t>
      </w:r>
      <w:proofErr w:type="spellStart"/>
      <w:r w:rsidR="00C044A4" w:rsidRPr="00B95647">
        <w:rPr>
          <w:rFonts w:ascii="Times New Roman" w:hAnsi="Times New Roman" w:cs="Times New Roman"/>
          <w:b/>
        </w:rPr>
        <w:t>consultar</w:t>
      </w:r>
      <w:proofErr w:type="spellEnd"/>
      <w:r w:rsidR="00C044A4" w:rsidRPr="00B95647">
        <w:rPr>
          <w:rFonts w:ascii="Times New Roman" w:hAnsi="Times New Roman" w:cs="Times New Roman"/>
          <w:b/>
        </w:rPr>
        <w:t>.</w:t>
      </w:r>
    </w:p>
    <w:p w:rsidR="00BB18CE" w:rsidRDefault="009A5399" w:rsidP="009A53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399">
        <w:rPr>
          <w:rFonts w:ascii="Times New Roman" w:hAnsi="Times New Roman" w:cs="Times New Roman"/>
          <w:b/>
        </w:rPr>
        <w:t>Balkin</w:t>
      </w:r>
      <w:proofErr w:type="spellEnd"/>
      <w:r w:rsidRPr="009A5399">
        <w:rPr>
          <w:rFonts w:ascii="Times New Roman" w:hAnsi="Times New Roman" w:cs="Times New Roman"/>
        </w:rPr>
        <w:t>, J.</w:t>
      </w:r>
      <w:r>
        <w:rPr>
          <w:rFonts w:ascii="Times New Roman" w:hAnsi="Times New Roman" w:cs="Times New Roman"/>
        </w:rPr>
        <w:t xml:space="preserve"> (2016). </w:t>
      </w:r>
      <w:r w:rsidR="00BB18CE" w:rsidRPr="00BB18CE">
        <w:rPr>
          <w:rFonts w:ascii="Times New Roman" w:hAnsi="Times New Roman" w:cs="Times New Roman"/>
        </w:rPr>
        <w:t>Investing with Impact: Why Finance is a Force for Good</w:t>
      </w:r>
      <w:r w:rsidR="00BB18CE">
        <w:rPr>
          <w:rFonts w:ascii="Times New Roman" w:hAnsi="Times New Roman" w:cs="Times New Roman"/>
        </w:rPr>
        <w:t>.</w:t>
      </w:r>
    </w:p>
    <w:p w:rsidR="00D070F6" w:rsidRDefault="00D070F6" w:rsidP="00D070F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399">
        <w:rPr>
          <w:rFonts w:ascii="Times New Roman" w:hAnsi="Times New Roman" w:cs="Times New Roman"/>
          <w:b/>
        </w:rPr>
        <w:t>Bugg</w:t>
      </w:r>
      <w:proofErr w:type="spellEnd"/>
      <w:r w:rsidRPr="009A5399">
        <w:rPr>
          <w:rFonts w:ascii="Times New Roman" w:hAnsi="Times New Roman" w:cs="Times New Roman"/>
          <w:b/>
        </w:rPr>
        <w:t>-Levine</w:t>
      </w:r>
      <w:r>
        <w:rPr>
          <w:rFonts w:ascii="Times New Roman" w:hAnsi="Times New Roman" w:cs="Times New Roman"/>
        </w:rPr>
        <w:t xml:space="preserve">, A., </w:t>
      </w:r>
      <w:r w:rsidRPr="009A5399">
        <w:rPr>
          <w:rFonts w:ascii="Times New Roman" w:hAnsi="Times New Roman" w:cs="Times New Roman"/>
          <w:b/>
        </w:rPr>
        <w:t>Emerson</w:t>
      </w:r>
      <w:r>
        <w:rPr>
          <w:rFonts w:ascii="Times New Roman" w:hAnsi="Times New Roman" w:cs="Times New Roman"/>
        </w:rPr>
        <w:t xml:space="preserve">, J. (2011). </w:t>
      </w:r>
      <w:r w:rsidRPr="009A5399">
        <w:rPr>
          <w:rFonts w:ascii="Times New Roman" w:hAnsi="Times New Roman" w:cs="Times New Roman"/>
        </w:rPr>
        <w:t>Impact Investing: Transforming How We Make Money While Making a Difference</w:t>
      </w:r>
      <w:r>
        <w:rPr>
          <w:rFonts w:ascii="Times New Roman" w:hAnsi="Times New Roman" w:cs="Times New Roman"/>
        </w:rPr>
        <w:t>.</w:t>
      </w:r>
    </w:p>
    <w:p w:rsidR="009C234D" w:rsidRDefault="009C234D" w:rsidP="009C23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Clark</w:t>
      </w:r>
      <w:r>
        <w:rPr>
          <w:rFonts w:ascii="Times New Roman" w:hAnsi="Times New Roman" w:cs="Times New Roman"/>
        </w:rPr>
        <w:t xml:space="preserve">, C., </w:t>
      </w:r>
      <w:r>
        <w:rPr>
          <w:rFonts w:ascii="Times New Roman" w:hAnsi="Times New Roman" w:cs="Times New Roman"/>
          <w:b/>
        </w:rPr>
        <w:t>Emerson</w:t>
      </w:r>
      <w:r>
        <w:rPr>
          <w:rFonts w:ascii="Times New Roman" w:hAnsi="Times New Roman" w:cs="Times New Roman"/>
        </w:rPr>
        <w:t xml:space="preserve">, J., </w:t>
      </w:r>
      <w:proofErr w:type="spellStart"/>
      <w:r w:rsidRPr="009C234D">
        <w:rPr>
          <w:rFonts w:ascii="Times New Roman" w:hAnsi="Times New Roman" w:cs="Times New Roman"/>
          <w:b/>
        </w:rPr>
        <w:t>Thornley</w:t>
      </w:r>
      <w:proofErr w:type="spellEnd"/>
      <w:r>
        <w:rPr>
          <w:rFonts w:ascii="Times New Roman" w:hAnsi="Times New Roman" w:cs="Times New Roman"/>
        </w:rPr>
        <w:t xml:space="preserve">, B. (2014). </w:t>
      </w:r>
      <w:r w:rsidRPr="009C234D">
        <w:rPr>
          <w:rFonts w:ascii="Times New Roman" w:hAnsi="Times New Roman" w:cs="Times New Roman"/>
        </w:rPr>
        <w:t>The Impact Investor: Lessons in Leadership and Strategy for Coll</w:t>
      </w:r>
      <w:r>
        <w:rPr>
          <w:rFonts w:ascii="Times New Roman" w:hAnsi="Times New Roman" w:cs="Times New Roman"/>
        </w:rPr>
        <w:t>aborative Capitalism.</w:t>
      </w:r>
    </w:p>
    <w:p w:rsidR="00130A84" w:rsidRPr="00130A84" w:rsidRDefault="00130A84" w:rsidP="00130A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Camejo</w:t>
      </w:r>
      <w:proofErr w:type="spellEnd"/>
      <w:r w:rsidRPr="00130A8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P. </w:t>
      </w:r>
      <w:r w:rsidRPr="00130A8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2002</w:t>
      </w:r>
      <w:r w:rsidRPr="00130A8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Pr="00130A84">
        <w:rPr>
          <w:rFonts w:ascii="Times New Roman" w:hAnsi="Times New Roman" w:cs="Times New Roman"/>
        </w:rPr>
        <w:t>The SRI Advantage: Why Socially Responsible Investing Has Outperformed Financially</w:t>
      </w:r>
      <w:r>
        <w:rPr>
          <w:rFonts w:ascii="Times New Roman" w:hAnsi="Times New Roman" w:cs="Times New Roman"/>
        </w:rPr>
        <w:t>.</w:t>
      </w:r>
    </w:p>
    <w:p w:rsidR="009A5399" w:rsidRDefault="009A5399" w:rsidP="009A53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399">
        <w:rPr>
          <w:rFonts w:ascii="Times New Roman" w:hAnsi="Times New Roman" w:cs="Times New Roman"/>
          <w:b/>
        </w:rPr>
        <w:t>Esty</w:t>
      </w:r>
      <w:proofErr w:type="spellEnd"/>
      <w:r>
        <w:rPr>
          <w:rFonts w:ascii="Times New Roman" w:hAnsi="Times New Roman" w:cs="Times New Roman"/>
        </w:rPr>
        <w:t xml:space="preserve">, D. C., </w:t>
      </w:r>
      <w:r w:rsidRPr="00D070F6">
        <w:rPr>
          <w:rFonts w:ascii="Times New Roman" w:hAnsi="Times New Roman" w:cs="Times New Roman"/>
          <w:b/>
        </w:rPr>
        <w:t>Winston</w:t>
      </w:r>
      <w:r>
        <w:rPr>
          <w:rFonts w:ascii="Times New Roman" w:hAnsi="Times New Roman" w:cs="Times New Roman"/>
        </w:rPr>
        <w:t>, A. S.</w:t>
      </w:r>
      <w:r w:rsidR="00D070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D070F6">
        <w:rPr>
          <w:rFonts w:ascii="Times New Roman" w:hAnsi="Times New Roman" w:cs="Times New Roman"/>
        </w:rPr>
        <w:t xml:space="preserve">2006). </w:t>
      </w:r>
      <w:r w:rsidRPr="009A5399">
        <w:rPr>
          <w:rFonts w:ascii="Times New Roman" w:hAnsi="Times New Roman" w:cs="Times New Roman"/>
        </w:rPr>
        <w:t>Green to Gold: How Smart Companies Use Environmental Strategy to Innovate, Create Value, and Build a Competitive Advantage</w:t>
      </w:r>
      <w:r>
        <w:rPr>
          <w:rFonts w:ascii="Times New Roman" w:hAnsi="Times New Roman" w:cs="Times New Roman"/>
        </w:rPr>
        <w:t>.</w:t>
      </w:r>
    </w:p>
    <w:p w:rsidR="00D070F6" w:rsidRPr="00D070F6" w:rsidRDefault="00D070F6" w:rsidP="00D070F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399">
        <w:rPr>
          <w:rFonts w:ascii="Times New Roman" w:hAnsi="Times New Roman" w:cs="Times New Roman"/>
          <w:b/>
        </w:rPr>
        <w:t>Hebb</w:t>
      </w:r>
      <w:proofErr w:type="spellEnd"/>
      <w:r>
        <w:rPr>
          <w:rFonts w:ascii="Times New Roman" w:hAnsi="Times New Roman" w:cs="Times New Roman"/>
        </w:rPr>
        <w:t xml:space="preserve">, T. (2014). </w:t>
      </w:r>
      <w:r w:rsidRPr="00322C26">
        <w:rPr>
          <w:rFonts w:ascii="Times New Roman" w:hAnsi="Times New Roman" w:cs="Times New Roman"/>
        </w:rPr>
        <w:t>The Next Generation of Responsible Investing (Advances in Business Ethics Research)</w:t>
      </w:r>
      <w:r>
        <w:rPr>
          <w:rFonts w:ascii="Times New Roman" w:hAnsi="Times New Roman" w:cs="Times New Roman"/>
        </w:rPr>
        <w:t>.</w:t>
      </w:r>
    </w:p>
    <w:p w:rsidR="00D070F6" w:rsidRDefault="00D070F6" w:rsidP="00D070F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399">
        <w:rPr>
          <w:rFonts w:ascii="Times New Roman" w:hAnsi="Times New Roman" w:cs="Times New Roman"/>
          <w:b/>
        </w:rPr>
        <w:t>Krosinsky</w:t>
      </w:r>
      <w:proofErr w:type="spellEnd"/>
      <w:r>
        <w:rPr>
          <w:rFonts w:ascii="Times New Roman" w:hAnsi="Times New Roman" w:cs="Times New Roman"/>
        </w:rPr>
        <w:t>, C.</w:t>
      </w:r>
      <w:r w:rsidRPr="00BB18CE">
        <w:rPr>
          <w:rFonts w:ascii="Times New Roman" w:hAnsi="Times New Roman" w:cs="Times New Roman"/>
        </w:rPr>
        <w:t xml:space="preserve"> (2009). Sustainable Investing: The Art of Long-Term Performance.</w:t>
      </w:r>
    </w:p>
    <w:p w:rsidR="00871B3B" w:rsidRPr="00871B3B" w:rsidRDefault="00871B3B" w:rsidP="007900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399">
        <w:rPr>
          <w:rFonts w:ascii="Times New Roman" w:hAnsi="Times New Roman" w:cs="Times New Roman"/>
          <w:b/>
        </w:rPr>
        <w:t>Krosinsky</w:t>
      </w:r>
      <w:proofErr w:type="spellEnd"/>
      <w:r w:rsidRPr="009A5399">
        <w:rPr>
          <w:rFonts w:ascii="Times New Roman" w:hAnsi="Times New Roman" w:cs="Times New Roman"/>
        </w:rPr>
        <w:t>, C.</w:t>
      </w:r>
      <w:r>
        <w:rPr>
          <w:rFonts w:ascii="Times New Roman" w:hAnsi="Times New Roman" w:cs="Times New Roman"/>
        </w:rPr>
        <w:t xml:space="preserve">, </w:t>
      </w:r>
      <w:r w:rsidRPr="00871B3B">
        <w:rPr>
          <w:rFonts w:ascii="Times New Roman" w:hAnsi="Times New Roman" w:cs="Times New Roman"/>
          <w:b/>
        </w:rPr>
        <w:t>Robins</w:t>
      </w:r>
      <w:r>
        <w:rPr>
          <w:rFonts w:ascii="Times New Roman" w:hAnsi="Times New Roman" w:cs="Times New Roman"/>
        </w:rPr>
        <w:t xml:space="preserve">, N., </w:t>
      </w:r>
      <w:proofErr w:type="spellStart"/>
      <w:r w:rsidR="00790047" w:rsidRPr="00790047">
        <w:rPr>
          <w:rFonts w:ascii="Times New Roman" w:hAnsi="Times New Roman" w:cs="Times New Roman"/>
          <w:b/>
        </w:rPr>
        <w:t>Viederman</w:t>
      </w:r>
      <w:proofErr w:type="spellEnd"/>
      <w:r w:rsidR="00790047" w:rsidRPr="00790047">
        <w:rPr>
          <w:rFonts w:ascii="Times New Roman" w:hAnsi="Times New Roman" w:cs="Times New Roman"/>
        </w:rPr>
        <w:t>, S.</w:t>
      </w:r>
      <w:r w:rsidR="00790047">
        <w:rPr>
          <w:rFonts w:ascii="Times New Roman" w:hAnsi="Times New Roman" w:cs="Times New Roman"/>
        </w:rPr>
        <w:t xml:space="preserve"> (</w:t>
      </w:r>
      <w:r w:rsidRPr="00871B3B">
        <w:rPr>
          <w:rFonts w:ascii="Times New Roman" w:hAnsi="Times New Roman" w:cs="Times New Roman"/>
        </w:rPr>
        <w:t>2011)</w:t>
      </w:r>
      <w:r>
        <w:rPr>
          <w:rFonts w:ascii="Times New Roman" w:hAnsi="Times New Roman" w:cs="Times New Roman"/>
        </w:rPr>
        <w:t xml:space="preserve">. </w:t>
      </w:r>
      <w:r w:rsidRPr="00871B3B">
        <w:rPr>
          <w:rFonts w:ascii="Times New Roman" w:hAnsi="Times New Roman" w:cs="Times New Roman"/>
        </w:rPr>
        <w:t>Evolutions in Sustainable Investing: Strategies, Funds and Thought Leadership</w:t>
      </w:r>
      <w:r>
        <w:rPr>
          <w:rFonts w:ascii="Times New Roman" w:hAnsi="Times New Roman" w:cs="Times New Roman"/>
        </w:rPr>
        <w:t>.</w:t>
      </w:r>
    </w:p>
    <w:p w:rsidR="009C234D" w:rsidRPr="00BB18CE" w:rsidRDefault="009C234D" w:rsidP="009C23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399">
        <w:rPr>
          <w:rFonts w:ascii="Times New Roman" w:hAnsi="Times New Roman" w:cs="Times New Roman"/>
          <w:b/>
        </w:rPr>
        <w:t>Krosinsky</w:t>
      </w:r>
      <w:proofErr w:type="spellEnd"/>
      <w:r w:rsidRPr="009A5399">
        <w:rPr>
          <w:rFonts w:ascii="Times New Roman" w:hAnsi="Times New Roman" w:cs="Times New Roman"/>
        </w:rPr>
        <w:t>, C.</w:t>
      </w:r>
      <w:r>
        <w:rPr>
          <w:rFonts w:ascii="Times New Roman" w:hAnsi="Times New Roman" w:cs="Times New Roman"/>
        </w:rPr>
        <w:t xml:space="preserve"> (2013). </w:t>
      </w:r>
      <w:r w:rsidRPr="009C234D">
        <w:rPr>
          <w:rFonts w:ascii="Times New Roman" w:hAnsi="Times New Roman" w:cs="Times New Roman"/>
        </w:rPr>
        <w:t>The Short Guide to Sustainable Investing</w:t>
      </w:r>
    </w:p>
    <w:p w:rsidR="00D070F6" w:rsidRDefault="00D070F6" w:rsidP="00D070F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399">
        <w:rPr>
          <w:rFonts w:ascii="Times New Roman" w:hAnsi="Times New Roman" w:cs="Times New Roman"/>
          <w:b/>
        </w:rPr>
        <w:t>Krosinsky</w:t>
      </w:r>
      <w:proofErr w:type="spellEnd"/>
      <w:r w:rsidRPr="009A5399">
        <w:rPr>
          <w:rFonts w:ascii="Times New Roman" w:hAnsi="Times New Roman" w:cs="Times New Roman"/>
        </w:rPr>
        <w:t>, C.,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A5399">
        <w:rPr>
          <w:rFonts w:ascii="Times New Roman" w:hAnsi="Times New Roman" w:cs="Times New Roman"/>
          <w:b/>
        </w:rPr>
        <w:t>Purdom</w:t>
      </w:r>
      <w:proofErr w:type="spellEnd"/>
      <w:r w:rsidRPr="009A5399">
        <w:rPr>
          <w:rFonts w:ascii="Times New Roman" w:hAnsi="Times New Roman" w:cs="Times New Roman"/>
        </w:rPr>
        <w:t>, S.</w:t>
      </w:r>
      <w:r w:rsidRPr="00BB18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(2016). </w:t>
      </w:r>
      <w:r w:rsidRPr="009A5399">
        <w:rPr>
          <w:rFonts w:ascii="Times New Roman" w:hAnsi="Times New Roman" w:cs="Times New Roman"/>
        </w:rPr>
        <w:t>Sustainable Investing: Revolutions in theory and practice</w:t>
      </w:r>
      <w:r>
        <w:rPr>
          <w:rFonts w:ascii="Times New Roman" w:hAnsi="Times New Roman" w:cs="Times New Roman"/>
        </w:rPr>
        <w:t>.</w:t>
      </w:r>
    </w:p>
    <w:p w:rsidR="00D070F6" w:rsidRPr="00D070F6" w:rsidRDefault="00D070F6" w:rsidP="00D070F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399">
        <w:rPr>
          <w:rFonts w:ascii="Times New Roman" w:hAnsi="Times New Roman" w:cs="Times New Roman"/>
          <w:b/>
        </w:rPr>
        <w:t>Neher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9A5399">
        <w:rPr>
          <w:rFonts w:ascii="Times New Roman" w:hAnsi="Times New Roman" w:cs="Times New Roman"/>
        </w:rPr>
        <w:t>A. L.</w:t>
      </w:r>
      <w:r w:rsidRPr="009A53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(2015).</w:t>
      </w:r>
      <w:r w:rsidRPr="00322C26">
        <w:rPr>
          <w:rFonts w:ascii="Times New Roman" w:hAnsi="Times New Roman" w:cs="Times New Roman"/>
        </w:rPr>
        <w:t xml:space="preserve"> ESG Risks and Responsible Investment in Financial Markets</w:t>
      </w:r>
      <w:r>
        <w:rPr>
          <w:rFonts w:ascii="Times New Roman" w:hAnsi="Times New Roman" w:cs="Times New Roman"/>
        </w:rPr>
        <w:t>.</w:t>
      </w:r>
    </w:p>
    <w:p w:rsidR="00D070F6" w:rsidRDefault="00D070F6" w:rsidP="00D070F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A5399">
        <w:rPr>
          <w:rFonts w:ascii="Times New Roman" w:hAnsi="Times New Roman" w:cs="Times New Roman"/>
          <w:b/>
        </w:rPr>
        <w:t>Rodin</w:t>
      </w:r>
      <w:r w:rsidRPr="00B73E58">
        <w:rPr>
          <w:rFonts w:ascii="Times New Roman" w:hAnsi="Times New Roman" w:cs="Times New Roman"/>
        </w:rPr>
        <w:t xml:space="preserve">, J., </w:t>
      </w:r>
      <w:r w:rsidRPr="009A5399">
        <w:rPr>
          <w:rFonts w:ascii="Times New Roman" w:hAnsi="Times New Roman" w:cs="Times New Roman"/>
          <w:b/>
        </w:rPr>
        <w:t>Brandenburg</w:t>
      </w:r>
      <w:r w:rsidRPr="00B73E58">
        <w:rPr>
          <w:rFonts w:ascii="Times New Roman" w:hAnsi="Times New Roman" w:cs="Times New Roman"/>
        </w:rPr>
        <w:t>, M. (2014). The Power of Impact Investing: Putting Market</w:t>
      </w:r>
      <w:r>
        <w:rPr>
          <w:rFonts w:ascii="Times New Roman" w:hAnsi="Times New Roman" w:cs="Times New Roman"/>
        </w:rPr>
        <w:t>s to Work for Profit and Global.</w:t>
      </w:r>
    </w:p>
    <w:p w:rsidR="00D070F6" w:rsidRPr="00D070F6" w:rsidRDefault="00D070F6" w:rsidP="00D070F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A5399">
        <w:rPr>
          <w:rFonts w:ascii="Times New Roman" w:hAnsi="Times New Roman" w:cs="Times New Roman"/>
          <w:b/>
        </w:rPr>
        <w:t>Sherwood</w:t>
      </w:r>
      <w:r w:rsidRPr="00E544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M. W.,</w:t>
      </w:r>
      <w:r w:rsidRPr="00E54495">
        <w:rPr>
          <w:rFonts w:ascii="Times New Roman" w:hAnsi="Times New Roman" w:cs="Times New Roman"/>
        </w:rPr>
        <w:t xml:space="preserve"> </w:t>
      </w:r>
      <w:r w:rsidRPr="009A5399">
        <w:rPr>
          <w:rFonts w:ascii="Times New Roman" w:hAnsi="Times New Roman" w:cs="Times New Roman"/>
          <w:b/>
        </w:rPr>
        <w:t>Pollard</w:t>
      </w:r>
      <w:r w:rsidRPr="009A5399">
        <w:rPr>
          <w:rFonts w:ascii="Times New Roman" w:hAnsi="Times New Roman" w:cs="Times New Roman"/>
        </w:rPr>
        <w:t>, J.,</w:t>
      </w:r>
      <w:r w:rsidRPr="00E54495">
        <w:rPr>
          <w:rFonts w:ascii="Times New Roman" w:hAnsi="Times New Roman" w:cs="Times New Roman"/>
        </w:rPr>
        <w:t xml:space="preserve"> (2018). Responsible Investing: An Introduction to Environmental, Social, and Governance Investments.</w:t>
      </w:r>
    </w:p>
    <w:p w:rsidR="000E09EE" w:rsidRPr="00BB18CE" w:rsidRDefault="000E09EE" w:rsidP="009A5399">
      <w:pPr>
        <w:spacing w:line="360" w:lineRule="auto"/>
        <w:rPr>
          <w:rFonts w:ascii="Times New Roman" w:hAnsi="Times New Roman" w:cs="Times New Roman"/>
          <w:b/>
        </w:rPr>
      </w:pPr>
    </w:p>
    <w:p w:rsidR="000E09EE" w:rsidRPr="00BB18CE" w:rsidRDefault="000E09EE" w:rsidP="000E09EE">
      <w:pPr>
        <w:rPr>
          <w:rFonts w:ascii="Times New Roman" w:hAnsi="Times New Roman" w:cs="Times New Roman"/>
          <w:b/>
        </w:rPr>
      </w:pPr>
    </w:p>
    <w:p w:rsidR="000E09EE" w:rsidRPr="00BB18CE" w:rsidRDefault="000E09EE" w:rsidP="000E09EE">
      <w:pPr>
        <w:rPr>
          <w:rFonts w:ascii="Times New Roman" w:hAnsi="Times New Roman" w:cs="Times New Roman"/>
          <w:b/>
        </w:rPr>
      </w:pPr>
    </w:p>
    <w:p w:rsidR="000E09EE" w:rsidRPr="00BB18CE" w:rsidRDefault="000E09EE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543517" w:rsidRPr="00BB18CE" w:rsidRDefault="00543517" w:rsidP="000E09EE">
      <w:pPr>
        <w:rPr>
          <w:rFonts w:ascii="Times New Roman" w:hAnsi="Times New Roman" w:cs="Times New Roman"/>
          <w:b/>
        </w:rPr>
      </w:pPr>
    </w:p>
    <w:p w:rsidR="00287D09" w:rsidRDefault="00287D09" w:rsidP="000E09EE">
      <w:pPr>
        <w:rPr>
          <w:rFonts w:ascii="Times New Roman" w:hAnsi="Times New Roman" w:cs="Times New Roman"/>
          <w:b/>
        </w:rPr>
      </w:pPr>
    </w:p>
    <w:p w:rsidR="00287D09" w:rsidRDefault="00287D09" w:rsidP="000E09EE">
      <w:pPr>
        <w:rPr>
          <w:rFonts w:ascii="Times New Roman" w:hAnsi="Times New Roman" w:cs="Times New Roman"/>
          <w:b/>
        </w:rPr>
      </w:pPr>
    </w:p>
    <w:p w:rsidR="00CC463E" w:rsidRPr="0036630C" w:rsidRDefault="000E09EE" w:rsidP="000E09EE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6630C">
        <w:rPr>
          <w:rFonts w:ascii="Times New Roman" w:hAnsi="Times New Roman" w:cs="Times New Roman"/>
          <w:b/>
          <w:sz w:val="24"/>
          <w:szCs w:val="24"/>
          <w:lang w:val="es-ES"/>
        </w:rPr>
        <w:t xml:space="preserve">5.1 </w:t>
      </w:r>
      <w:r w:rsidR="00315669" w:rsidRPr="0036630C">
        <w:rPr>
          <w:rFonts w:ascii="Times New Roman" w:hAnsi="Times New Roman" w:cs="Times New Roman"/>
          <w:b/>
          <w:sz w:val="24"/>
          <w:szCs w:val="24"/>
          <w:lang w:val="es-ES"/>
        </w:rPr>
        <w:t>Sitios</w:t>
      </w:r>
      <w:r w:rsidRPr="0036630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en la Web.</w:t>
      </w:r>
    </w:p>
    <w:p w:rsidR="000E09EE" w:rsidRPr="0036630C" w:rsidRDefault="00315669" w:rsidP="000E09EE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6630C">
        <w:rPr>
          <w:rFonts w:ascii="Times New Roman" w:hAnsi="Times New Roman" w:cs="Times New Roman"/>
          <w:b/>
          <w:sz w:val="24"/>
          <w:szCs w:val="24"/>
          <w:lang w:val="es-ES"/>
        </w:rPr>
        <w:t>5.1.1. Fuentes:</w:t>
      </w:r>
    </w:p>
    <w:p w:rsidR="007417E4" w:rsidRPr="0036630C" w:rsidRDefault="007417E4" w:rsidP="00E11367">
      <w:pPr>
        <w:ind w:left="720" w:hanging="720"/>
        <w:rPr>
          <w:rFonts w:ascii="Times New Roman" w:hAnsi="Times New Roman" w:cs="Times New Roman"/>
          <w:lang w:val="es-ES"/>
        </w:rPr>
      </w:pPr>
      <w:r w:rsidRPr="007417E4">
        <w:rPr>
          <w:rFonts w:ascii="Times New Roman" w:hAnsi="Times New Roman" w:cs="Times New Roman"/>
          <w:lang w:val="es-ES"/>
        </w:rPr>
        <w:t>-</w:t>
      </w:r>
      <w:r w:rsidRPr="007417E4">
        <w:rPr>
          <w:rFonts w:ascii="Times New Roman" w:hAnsi="Times New Roman" w:cs="Times New Roman"/>
          <w:lang w:val="es-ES"/>
        </w:rPr>
        <w:tab/>
      </w:r>
      <w:r w:rsidR="00DD4565" w:rsidRPr="0036630C">
        <w:rPr>
          <w:rFonts w:ascii="Times New Roman" w:hAnsi="Times New Roman" w:cs="Times New Roman"/>
          <w:lang w:val="es-ES"/>
        </w:rPr>
        <w:t>Organización de las Naciones Unidas</w:t>
      </w:r>
      <w:r w:rsidR="00BE183B" w:rsidRPr="0036630C">
        <w:rPr>
          <w:rFonts w:ascii="Times New Roman" w:hAnsi="Times New Roman" w:cs="Times New Roman"/>
          <w:lang w:val="es-ES"/>
        </w:rPr>
        <w:t xml:space="preserve"> (ONU)</w:t>
      </w:r>
      <w:r w:rsidRPr="0036630C">
        <w:rPr>
          <w:rFonts w:ascii="Times New Roman" w:hAnsi="Times New Roman" w:cs="Times New Roman"/>
          <w:lang w:val="es-ES"/>
        </w:rPr>
        <w:t xml:space="preserve">, La Declaración Universal de Derechos Humanos. </w:t>
      </w:r>
      <w:r w:rsidR="00E93C62" w:rsidRPr="0036630C">
        <w:rPr>
          <w:rFonts w:ascii="Times New Roman" w:hAnsi="Times New Roman" w:cs="Times New Roman"/>
          <w:lang w:val="es-ES"/>
        </w:rPr>
        <w:t>Disponible e</w:t>
      </w:r>
      <w:r w:rsidRPr="0036630C">
        <w:rPr>
          <w:rFonts w:ascii="Times New Roman" w:hAnsi="Times New Roman" w:cs="Times New Roman"/>
          <w:lang w:val="es-ES"/>
        </w:rPr>
        <w:t xml:space="preserve">n </w:t>
      </w:r>
      <w:hyperlink r:id="rId9" w:history="1">
        <w:r w:rsidRPr="0036630C">
          <w:rPr>
            <w:rStyle w:val="Hyperlink"/>
            <w:rFonts w:ascii="Times New Roman" w:hAnsi="Times New Roman" w:cs="Times New Roman"/>
            <w:lang w:val="es-ES"/>
          </w:rPr>
          <w:t>https://www.un.org/es/universal-declaration-human-rights/index.html</w:t>
        </w:r>
      </w:hyperlink>
    </w:p>
    <w:p w:rsidR="007417E4" w:rsidRPr="0036630C" w:rsidRDefault="007417E4" w:rsidP="00A23534">
      <w:pPr>
        <w:ind w:left="720" w:hanging="720"/>
        <w:rPr>
          <w:rFonts w:ascii="Times New Roman" w:hAnsi="Times New Roman" w:cs="Times New Roman"/>
          <w:lang w:val="es-ES"/>
        </w:rPr>
      </w:pPr>
      <w:r w:rsidRPr="0036630C">
        <w:rPr>
          <w:rFonts w:ascii="Times New Roman" w:hAnsi="Times New Roman" w:cs="Times New Roman"/>
          <w:lang w:val="es-ES"/>
        </w:rPr>
        <w:t>-</w:t>
      </w:r>
      <w:r w:rsidRPr="0036630C">
        <w:rPr>
          <w:rFonts w:ascii="Times New Roman" w:hAnsi="Times New Roman" w:cs="Times New Roman"/>
          <w:lang w:val="es-ES"/>
        </w:rPr>
        <w:tab/>
      </w:r>
      <w:r w:rsidR="00DD4565" w:rsidRPr="0036630C">
        <w:rPr>
          <w:rFonts w:ascii="Times New Roman" w:hAnsi="Times New Roman" w:cs="Times New Roman"/>
          <w:lang w:val="es-ES"/>
        </w:rPr>
        <w:t>Organización de las Naciones Unidas</w:t>
      </w:r>
      <w:r w:rsidR="00BE183B" w:rsidRPr="0036630C">
        <w:rPr>
          <w:rFonts w:ascii="Times New Roman" w:hAnsi="Times New Roman" w:cs="Times New Roman"/>
          <w:lang w:val="es-ES"/>
        </w:rPr>
        <w:t xml:space="preserve"> (ONU)</w:t>
      </w:r>
      <w:r w:rsidRPr="0036630C">
        <w:rPr>
          <w:rFonts w:ascii="Times New Roman" w:hAnsi="Times New Roman" w:cs="Times New Roman"/>
          <w:lang w:val="es-ES"/>
        </w:rPr>
        <w:t>, Obje</w:t>
      </w:r>
      <w:r w:rsidR="00E93C62" w:rsidRPr="0036630C">
        <w:rPr>
          <w:rFonts w:ascii="Times New Roman" w:hAnsi="Times New Roman" w:cs="Times New Roman"/>
          <w:lang w:val="es-ES"/>
        </w:rPr>
        <w:t xml:space="preserve">tivos de Desarrollo Sostenible, Disponible en </w:t>
      </w:r>
      <w:hyperlink r:id="rId10" w:history="1">
        <w:r w:rsidRPr="0036630C">
          <w:rPr>
            <w:rStyle w:val="Hyperlink"/>
            <w:rFonts w:ascii="Times New Roman" w:hAnsi="Times New Roman" w:cs="Times New Roman"/>
            <w:lang w:val="es-ES"/>
          </w:rPr>
          <w:t>https://www.un.org/sustainabledevelopment/es/</w:t>
        </w:r>
      </w:hyperlink>
    </w:p>
    <w:p w:rsidR="00A23534" w:rsidRPr="0036630C" w:rsidRDefault="00A23534" w:rsidP="009F3E5D">
      <w:pPr>
        <w:ind w:left="720" w:hanging="720"/>
        <w:rPr>
          <w:rFonts w:ascii="Times New Roman" w:hAnsi="Times New Roman" w:cs="Times New Roman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-</w:t>
      </w:r>
      <w:r w:rsidRPr="0036630C">
        <w:rPr>
          <w:rStyle w:val="Hyperlink"/>
          <w:rFonts w:ascii="Times New Roman" w:hAnsi="Times New Roman" w:cs="Times New Roman"/>
          <w:u w:val="none"/>
          <w:lang w:val="es-ES"/>
        </w:rPr>
        <w:tab/>
      </w:r>
      <w:r w:rsidR="00E93C62" w:rsidRPr="0036630C">
        <w:rPr>
          <w:rFonts w:ascii="Times New Roman" w:hAnsi="Times New Roman" w:cs="Times New Roman"/>
          <w:lang w:val="es-ES"/>
        </w:rPr>
        <w:t xml:space="preserve">Organización de las Naciones Unidas (ONU), </w:t>
      </w:r>
      <w:r w:rsidRPr="0036630C">
        <w:rPr>
          <w:rFonts w:ascii="Times New Roman" w:hAnsi="Times New Roman" w:cs="Times New Roman"/>
          <w:lang w:val="es-ES"/>
        </w:rPr>
        <w:t xml:space="preserve">Los Diez Principios del Pacto Mundial de la </w:t>
      </w:r>
      <w:r w:rsidR="00DD4565" w:rsidRPr="0036630C">
        <w:rPr>
          <w:rFonts w:ascii="Times New Roman" w:hAnsi="Times New Roman" w:cs="Times New Roman"/>
          <w:lang w:val="es-ES"/>
        </w:rPr>
        <w:t>Organización de las Naciones Unidas</w:t>
      </w:r>
      <w:r w:rsidR="00BE183B" w:rsidRPr="0036630C">
        <w:rPr>
          <w:rFonts w:ascii="Times New Roman" w:hAnsi="Times New Roman" w:cs="Times New Roman"/>
          <w:lang w:val="es-ES"/>
        </w:rPr>
        <w:t xml:space="preserve"> (ONU)</w:t>
      </w:r>
      <w:r w:rsidR="00E93C62" w:rsidRPr="0036630C">
        <w:rPr>
          <w:rFonts w:ascii="Times New Roman" w:hAnsi="Times New Roman" w:cs="Times New Roman"/>
          <w:lang w:val="es-ES"/>
        </w:rPr>
        <w:t>. Disponible en</w:t>
      </w:r>
      <w:r w:rsidRPr="0036630C">
        <w:rPr>
          <w:rFonts w:ascii="Times New Roman" w:hAnsi="Times New Roman" w:cs="Times New Roman"/>
          <w:lang w:val="es-ES"/>
        </w:rPr>
        <w:t xml:space="preserve"> </w:t>
      </w:r>
      <w:hyperlink r:id="rId11" w:history="1">
        <w:r w:rsidR="009F3E5D" w:rsidRPr="0036630C">
          <w:rPr>
            <w:rStyle w:val="Hyperlink"/>
            <w:rFonts w:ascii="Times New Roman" w:hAnsi="Times New Roman" w:cs="Times New Roman"/>
            <w:lang w:val="es-ES"/>
          </w:rPr>
          <w:t>https://www.unglobalcompact.org/what-is-gc/mission/principles</w:t>
        </w:r>
      </w:hyperlink>
      <w:r w:rsidR="009F3E5D" w:rsidRPr="0036630C">
        <w:rPr>
          <w:rFonts w:ascii="Times New Roman" w:hAnsi="Times New Roman" w:cs="Times New Roman"/>
          <w:lang w:val="es-ES"/>
        </w:rPr>
        <w:t xml:space="preserve"> </w:t>
      </w:r>
    </w:p>
    <w:p w:rsidR="009F3E5D" w:rsidRPr="0036630C" w:rsidRDefault="009F3E5D" w:rsidP="009F3E5D">
      <w:pPr>
        <w:ind w:left="720" w:hanging="720"/>
        <w:rPr>
          <w:rFonts w:ascii="Times New Roman" w:hAnsi="Times New Roman" w:cs="Times New Roman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-</w:t>
      </w:r>
      <w:r w:rsidRPr="0036630C">
        <w:rPr>
          <w:rStyle w:val="Hyperlink"/>
          <w:rFonts w:ascii="Times New Roman" w:hAnsi="Times New Roman" w:cs="Times New Roman"/>
          <w:u w:val="none"/>
          <w:lang w:val="es-ES"/>
        </w:rPr>
        <w:tab/>
      </w:r>
      <w:r w:rsidRPr="0036630C">
        <w:rPr>
          <w:rFonts w:ascii="Times New Roman" w:hAnsi="Times New Roman" w:cs="Times New Roman"/>
          <w:lang w:val="es-ES"/>
        </w:rPr>
        <w:t>Asamblea General de las</w:t>
      </w:r>
      <w:r w:rsidRPr="0036630C">
        <w:rPr>
          <w:rStyle w:val="Hyperlink"/>
          <w:rFonts w:ascii="Times New Roman" w:hAnsi="Times New Roman" w:cs="Times New Roman"/>
          <w:u w:val="none"/>
          <w:lang w:val="es-ES"/>
        </w:rPr>
        <w:t xml:space="preserve"> </w:t>
      </w:r>
      <w:r w:rsidRPr="0036630C">
        <w:rPr>
          <w:rFonts w:ascii="Times New Roman" w:hAnsi="Times New Roman" w:cs="Times New Roman"/>
          <w:lang w:val="es-ES"/>
        </w:rPr>
        <w:t>Naciones Unidas</w:t>
      </w:r>
      <w:r w:rsidR="00BE183B" w:rsidRPr="0036630C">
        <w:rPr>
          <w:rFonts w:ascii="Times New Roman" w:hAnsi="Times New Roman" w:cs="Times New Roman"/>
          <w:lang w:val="es-ES"/>
        </w:rPr>
        <w:t xml:space="preserve"> (ONU)</w:t>
      </w:r>
      <w:r w:rsidRPr="0036630C">
        <w:rPr>
          <w:rFonts w:ascii="Times New Roman" w:hAnsi="Times New Roman" w:cs="Times New Roman"/>
          <w:lang w:val="es-ES"/>
        </w:rPr>
        <w:t>, Resolución aprobada el 27 de julio de 2012.</w:t>
      </w:r>
      <w:r w:rsidR="00E93C62" w:rsidRPr="0036630C">
        <w:rPr>
          <w:rFonts w:ascii="Times New Roman" w:hAnsi="Times New Roman" w:cs="Times New Roman"/>
          <w:lang w:val="es-ES"/>
        </w:rPr>
        <w:t xml:space="preserve"> Disponible en </w:t>
      </w:r>
      <w:hyperlink r:id="rId12" w:history="1">
        <w:r w:rsidRPr="0036630C">
          <w:rPr>
            <w:rStyle w:val="Hyperlink"/>
            <w:rFonts w:ascii="Times New Roman" w:hAnsi="Times New Roman" w:cs="Times New Roman"/>
            <w:lang w:val="es-ES"/>
          </w:rPr>
          <w:t>https://www.un.org/ga/search/view_doc.asp?symbol=A/RES/66/288&amp;Lang=S</w:t>
        </w:r>
      </w:hyperlink>
      <w:r w:rsidRPr="0036630C">
        <w:rPr>
          <w:rFonts w:ascii="Times New Roman" w:hAnsi="Times New Roman" w:cs="Times New Roman"/>
          <w:lang w:val="es-ES"/>
        </w:rPr>
        <w:t xml:space="preserve"> </w:t>
      </w:r>
    </w:p>
    <w:p w:rsidR="00DD4565" w:rsidRPr="0036630C" w:rsidRDefault="009F3E5D" w:rsidP="009F3E5D">
      <w:pPr>
        <w:ind w:left="720" w:hanging="720"/>
        <w:rPr>
          <w:rFonts w:ascii="Times New Roman" w:hAnsi="Times New Roman" w:cs="Times New Roman"/>
          <w:lang w:val="es-ES"/>
        </w:rPr>
      </w:pPr>
      <w:r w:rsidRPr="0036630C">
        <w:rPr>
          <w:rStyle w:val="Hyperlink"/>
          <w:rFonts w:ascii="Times New Roman" w:hAnsi="Times New Roman" w:cs="Times New Roman"/>
          <w:u w:val="none"/>
          <w:lang w:val="es-ES"/>
        </w:rPr>
        <w:t xml:space="preserve">- </w:t>
      </w:r>
      <w:r w:rsidR="00DD4565" w:rsidRPr="0036630C">
        <w:rPr>
          <w:rFonts w:ascii="Times New Roman" w:hAnsi="Times New Roman" w:cs="Times New Roman"/>
          <w:lang w:val="es-ES"/>
        </w:rPr>
        <w:tab/>
        <w:t>Conferencia de la Organización de las Naciones Unidas</w:t>
      </w:r>
      <w:r w:rsidR="00BE183B" w:rsidRPr="0036630C">
        <w:rPr>
          <w:rFonts w:ascii="Times New Roman" w:hAnsi="Times New Roman" w:cs="Times New Roman"/>
          <w:lang w:val="es-ES"/>
        </w:rPr>
        <w:t xml:space="preserve"> (ONU), </w:t>
      </w:r>
      <w:r w:rsidR="00DD4565" w:rsidRPr="0036630C">
        <w:rPr>
          <w:rFonts w:ascii="Times New Roman" w:hAnsi="Times New Roman" w:cs="Times New Roman"/>
          <w:lang w:val="es-ES"/>
        </w:rPr>
        <w:t>por el Desarrollo Sostenible, Rio de Janeiro, Brasil, 20 a 22 Junio 2012</w:t>
      </w:r>
      <w:r w:rsidR="00BE183B" w:rsidRPr="0036630C">
        <w:rPr>
          <w:rFonts w:ascii="Times New Roman" w:hAnsi="Times New Roman" w:cs="Times New Roman"/>
          <w:lang w:val="es-ES"/>
        </w:rPr>
        <w:t xml:space="preserve">. </w:t>
      </w:r>
      <w:r w:rsidR="00E93C62" w:rsidRPr="0036630C">
        <w:rPr>
          <w:rFonts w:ascii="Times New Roman" w:hAnsi="Times New Roman" w:cs="Times New Roman"/>
          <w:lang w:val="es-ES"/>
        </w:rPr>
        <w:t>Disponible en</w:t>
      </w:r>
      <w:r w:rsidR="00BE183B" w:rsidRPr="0036630C">
        <w:rPr>
          <w:rFonts w:ascii="Times New Roman" w:hAnsi="Times New Roman" w:cs="Times New Roman"/>
          <w:lang w:val="es-ES"/>
        </w:rPr>
        <w:t xml:space="preserve"> </w:t>
      </w:r>
      <w:hyperlink r:id="rId13" w:history="1">
        <w:r w:rsidR="00BE183B" w:rsidRPr="0036630C">
          <w:rPr>
            <w:rStyle w:val="Hyperlink"/>
            <w:rFonts w:ascii="Times New Roman" w:hAnsi="Times New Roman" w:cs="Times New Roman"/>
            <w:lang w:val="es-ES"/>
          </w:rPr>
          <w:t>https://sustainabledevelopment.un.org/rio20/futurewewant</w:t>
        </w:r>
      </w:hyperlink>
      <w:r w:rsidR="00BE183B" w:rsidRPr="0036630C">
        <w:rPr>
          <w:rFonts w:ascii="Times New Roman" w:hAnsi="Times New Roman" w:cs="Times New Roman"/>
          <w:lang w:val="es-ES"/>
        </w:rPr>
        <w:t xml:space="preserve"> y </w:t>
      </w:r>
      <w:hyperlink r:id="rId14" w:history="1">
        <w:r w:rsidR="00BE183B" w:rsidRPr="0036630C">
          <w:rPr>
            <w:rStyle w:val="Hyperlink"/>
            <w:rFonts w:ascii="Times New Roman" w:hAnsi="Times New Roman" w:cs="Times New Roman"/>
            <w:lang w:val="es-ES"/>
          </w:rPr>
          <w:t>http://portal.uned.es/pls/portal/docs/PAGE/UNED_MAIN/LAUNIVERSIDAD/DEPARTAMENTOS/0614/ASIGNAT/MEDIOAMBIENTE/TEMA%201/%20%20%20%20%20DECLARACI%C3%93N%20DE%20R%C3%8DO%201992.PDF</w:t>
        </w:r>
      </w:hyperlink>
      <w:r w:rsidR="00BE183B" w:rsidRPr="0036630C">
        <w:rPr>
          <w:rFonts w:ascii="Times New Roman" w:hAnsi="Times New Roman" w:cs="Times New Roman"/>
          <w:lang w:val="es-ES"/>
        </w:rPr>
        <w:t xml:space="preserve"> </w:t>
      </w:r>
    </w:p>
    <w:p w:rsidR="00DD4565" w:rsidRPr="0036630C" w:rsidRDefault="00BE183B" w:rsidP="009F3E5D">
      <w:pPr>
        <w:ind w:left="720" w:hanging="720"/>
        <w:rPr>
          <w:rFonts w:ascii="Times New Roman" w:hAnsi="Times New Roman" w:cs="Times New Roman"/>
          <w:lang w:val="es-ES"/>
        </w:rPr>
      </w:pPr>
      <w:r w:rsidRPr="0036630C">
        <w:rPr>
          <w:rFonts w:ascii="Times New Roman" w:hAnsi="Times New Roman" w:cs="Times New Roman"/>
          <w:lang w:val="es-ES"/>
        </w:rPr>
        <w:t>-</w:t>
      </w:r>
      <w:r w:rsidRPr="0036630C">
        <w:rPr>
          <w:rFonts w:ascii="Times New Roman" w:hAnsi="Times New Roman" w:cs="Times New Roman"/>
          <w:lang w:val="es-ES"/>
        </w:rPr>
        <w:tab/>
        <w:t xml:space="preserve">Declaración de la Organización Mundial del Trabajo (OIT) relativa a los principios y derechos fundamentales en el trabajo y su seguimiento, Conferencia Internacional del Trabajo en su octogésima sexta reunión, Ginebra, 18 de junio de 1998. </w:t>
      </w:r>
      <w:r w:rsidR="00E93C62" w:rsidRPr="0036630C">
        <w:rPr>
          <w:rFonts w:ascii="Times New Roman" w:hAnsi="Times New Roman" w:cs="Times New Roman"/>
          <w:lang w:val="es-ES"/>
        </w:rPr>
        <w:t>Disponible en</w:t>
      </w:r>
      <w:r w:rsidRPr="0036630C">
        <w:rPr>
          <w:rFonts w:ascii="Times New Roman" w:hAnsi="Times New Roman" w:cs="Times New Roman"/>
          <w:lang w:val="es-ES"/>
        </w:rPr>
        <w:t xml:space="preserve"> </w:t>
      </w:r>
      <w:hyperlink r:id="rId15" w:history="1">
        <w:r w:rsidRPr="0036630C">
          <w:rPr>
            <w:rStyle w:val="Hyperlink"/>
            <w:rFonts w:ascii="Times New Roman" w:hAnsi="Times New Roman" w:cs="Times New Roman"/>
            <w:lang w:val="es-ES"/>
          </w:rPr>
          <w:t>http://www.ilo.org/declaration/thedeclaration/textdeclaration/lang--es/index.htm</w:t>
        </w:r>
      </w:hyperlink>
      <w:r w:rsidRPr="0036630C">
        <w:rPr>
          <w:rFonts w:ascii="Times New Roman" w:hAnsi="Times New Roman" w:cs="Times New Roman"/>
          <w:lang w:val="es-ES"/>
        </w:rPr>
        <w:t xml:space="preserve"> </w:t>
      </w:r>
    </w:p>
    <w:p w:rsidR="00BE183B" w:rsidRPr="0036630C" w:rsidRDefault="00BE183B" w:rsidP="00E93C62">
      <w:pPr>
        <w:ind w:left="720" w:hanging="720"/>
        <w:rPr>
          <w:rFonts w:ascii="Times New Roman" w:hAnsi="Times New Roman" w:cs="Times New Roman"/>
          <w:lang w:val="es-ES"/>
        </w:rPr>
      </w:pPr>
      <w:r w:rsidRPr="0036630C">
        <w:rPr>
          <w:rFonts w:ascii="Times New Roman" w:hAnsi="Times New Roman" w:cs="Times New Roman"/>
          <w:lang w:val="es-ES"/>
        </w:rPr>
        <w:t>-</w:t>
      </w:r>
      <w:r w:rsidRPr="0036630C">
        <w:rPr>
          <w:rFonts w:ascii="Times New Roman" w:hAnsi="Times New Roman" w:cs="Times New Roman"/>
          <w:lang w:val="es-ES"/>
        </w:rPr>
        <w:tab/>
      </w:r>
      <w:r w:rsidR="00E93C62" w:rsidRPr="0036630C">
        <w:rPr>
          <w:rFonts w:ascii="Times New Roman" w:hAnsi="Times New Roman" w:cs="Times New Roman"/>
          <w:lang w:val="es-ES"/>
        </w:rPr>
        <w:t xml:space="preserve">Organización de las Naciones Unidas (ONU), Resolución 58/4 de la Asamblea General, </w:t>
      </w:r>
      <w:r w:rsidRPr="0036630C">
        <w:rPr>
          <w:rFonts w:ascii="Times New Roman" w:hAnsi="Times New Roman" w:cs="Times New Roman"/>
          <w:lang w:val="es-ES"/>
        </w:rPr>
        <w:t>Convención de la Organización de las Naciones Unidas contra la Corrupción, 31 de Octubre de 2003</w:t>
      </w:r>
      <w:r w:rsidR="00E93C62" w:rsidRPr="0036630C">
        <w:rPr>
          <w:rFonts w:ascii="Times New Roman" w:hAnsi="Times New Roman" w:cs="Times New Roman"/>
          <w:lang w:val="es-ES"/>
        </w:rPr>
        <w:t xml:space="preserve">. Disponible en  </w:t>
      </w:r>
      <w:hyperlink r:id="rId16" w:history="1">
        <w:r w:rsidR="00E93C62" w:rsidRPr="0036630C">
          <w:rPr>
            <w:rStyle w:val="Hyperlink"/>
            <w:rFonts w:ascii="Times New Roman" w:hAnsi="Times New Roman" w:cs="Times New Roman"/>
            <w:lang w:val="es-ES"/>
          </w:rPr>
          <w:t>http://www.unodc.org/documents/treaties/UNCAC/Publications/Convention/04-56163_S.pdf</w:t>
        </w:r>
      </w:hyperlink>
      <w:r w:rsidR="00E93C62" w:rsidRPr="0036630C">
        <w:rPr>
          <w:rFonts w:ascii="Times New Roman" w:hAnsi="Times New Roman" w:cs="Times New Roman"/>
          <w:lang w:val="es-ES"/>
        </w:rPr>
        <w:t xml:space="preserve"> </w:t>
      </w:r>
    </w:p>
    <w:p w:rsidR="00E93C62" w:rsidRPr="0036630C" w:rsidRDefault="00E93C62" w:rsidP="00E93C62">
      <w:pPr>
        <w:ind w:left="720" w:hanging="720"/>
        <w:rPr>
          <w:rFonts w:ascii="Times New Roman" w:hAnsi="Times New Roman" w:cs="Times New Roman"/>
        </w:rPr>
      </w:pPr>
      <w:r w:rsidRPr="0036630C">
        <w:rPr>
          <w:rStyle w:val="Hyperlink"/>
          <w:rFonts w:ascii="Times New Roman" w:hAnsi="Times New Roman" w:cs="Times New Roman"/>
          <w:u w:val="none"/>
          <w:lang w:val="es-ES"/>
        </w:rPr>
        <w:t>-</w:t>
      </w:r>
      <w:r w:rsidRPr="0036630C">
        <w:rPr>
          <w:rStyle w:val="Hyperlink"/>
          <w:rFonts w:ascii="Times New Roman" w:hAnsi="Times New Roman" w:cs="Times New Roman"/>
          <w:u w:val="none"/>
          <w:lang w:val="es-ES"/>
        </w:rPr>
        <w:tab/>
      </w:r>
      <w:r w:rsidR="006368E1" w:rsidRPr="0036630C">
        <w:rPr>
          <w:rFonts w:ascii="Times New Roman" w:hAnsi="Times New Roman" w:cs="Times New Roman"/>
          <w:lang w:val="es-ES"/>
        </w:rPr>
        <w:t xml:space="preserve">Organización para la Cooperación y el Desarrollo Económicos (OCDE), </w:t>
      </w:r>
      <w:r w:rsidRPr="0036630C">
        <w:rPr>
          <w:rFonts w:ascii="Times New Roman" w:hAnsi="Times New Roman" w:cs="Times New Roman"/>
          <w:lang w:val="es-ES"/>
        </w:rPr>
        <w:t>Biblioteca</w:t>
      </w:r>
      <w:r w:rsidR="006368E1" w:rsidRPr="0036630C">
        <w:rPr>
          <w:rFonts w:ascii="Times New Roman" w:hAnsi="Times New Roman" w:cs="Times New Roman"/>
          <w:lang w:val="es-ES"/>
        </w:rPr>
        <w:t xml:space="preserve"> Online</w:t>
      </w:r>
      <w:r w:rsidRPr="0036630C">
        <w:rPr>
          <w:rFonts w:ascii="Times New Roman" w:hAnsi="Times New Roman" w:cs="Times New Roman"/>
          <w:lang w:val="es-ES"/>
        </w:rPr>
        <w:t>. Disponible</w:t>
      </w:r>
      <w:r w:rsidRPr="0036630C">
        <w:rPr>
          <w:rFonts w:ascii="Times New Roman" w:hAnsi="Times New Roman" w:cs="Times New Roman"/>
        </w:rPr>
        <w:t xml:space="preserve"> en </w:t>
      </w:r>
      <w:hyperlink r:id="rId17" w:history="1">
        <w:r w:rsidRPr="0036630C">
          <w:rPr>
            <w:rStyle w:val="Hyperlink"/>
            <w:rFonts w:ascii="Times New Roman" w:hAnsi="Times New Roman" w:cs="Times New Roman"/>
          </w:rPr>
          <w:t>https://www.oecd-ilibrary.org/</w:t>
        </w:r>
      </w:hyperlink>
      <w:r w:rsidRPr="0036630C">
        <w:rPr>
          <w:rFonts w:ascii="Times New Roman" w:hAnsi="Times New Roman" w:cs="Times New Roman"/>
        </w:rPr>
        <w:t xml:space="preserve"> </w:t>
      </w:r>
    </w:p>
    <w:p w:rsidR="00E93C62" w:rsidRPr="0036630C" w:rsidRDefault="00E93C62" w:rsidP="00E93C62">
      <w:pPr>
        <w:ind w:left="720" w:hanging="720"/>
        <w:rPr>
          <w:rFonts w:ascii="Times New Roman" w:hAnsi="Times New Roman" w:cs="Times New Roman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36630C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="006368E1" w:rsidRPr="0036630C">
        <w:rPr>
          <w:rFonts w:ascii="Times New Roman" w:hAnsi="Times New Roman" w:cs="Times New Roman"/>
        </w:rPr>
        <w:t>Harvard Law School Forum on Corporate Governance and Financial Regulation, ESG</w:t>
      </w:r>
      <w:proofErr w:type="gramStart"/>
      <w:r w:rsidR="006368E1" w:rsidRPr="0036630C">
        <w:rPr>
          <w:rFonts w:ascii="Times New Roman" w:hAnsi="Times New Roman" w:cs="Times New Roman"/>
        </w:rPr>
        <w:t>..</w:t>
      </w:r>
      <w:proofErr w:type="gramEnd"/>
      <w:r w:rsidR="006368E1" w:rsidRPr="0036630C">
        <w:rPr>
          <w:rFonts w:ascii="Times New Roman" w:hAnsi="Times New Roman" w:cs="Times New Roman"/>
        </w:rPr>
        <w:t xml:space="preserve"> </w:t>
      </w:r>
      <w:r w:rsidR="006368E1" w:rsidRPr="0036630C">
        <w:rPr>
          <w:rFonts w:ascii="Times New Roman" w:hAnsi="Times New Roman" w:cs="Times New Roman"/>
          <w:lang w:val="es-ES"/>
        </w:rPr>
        <w:t xml:space="preserve">Disponible en </w:t>
      </w:r>
      <w:hyperlink r:id="rId18" w:history="1">
        <w:r w:rsidR="006368E1" w:rsidRPr="0036630C">
          <w:rPr>
            <w:rStyle w:val="Hyperlink"/>
            <w:rFonts w:ascii="Times New Roman" w:hAnsi="Times New Roman" w:cs="Times New Roman"/>
            <w:lang w:val="es-ES"/>
          </w:rPr>
          <w:t>https://corpgov.law.harvard.edu/tag/esg/</w:t>
        </w:r>
      </w:hyperlink>
    </w:p>
    <w:p w:rsidR="00996C36" w:rsidRPr="0036630C" w:rsidRDefault="00996C36" w:rsidP="00E93C62">
      <w:pPr>
        <w:ind w:left="720" w:hanging="720"/>
        <w:rPr>
          <w:rFonts w:ascii="Times New Roman" w:hAnsi="Times New Roman" w:cs="Times New Roman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36630C">
        <w:rPr>
          <w:rStyle w:val="Hyperlink"/>
          <w:rFonts w:ascii="Times New Roman" w:hAnsi="Times New Roman" w:cs="Times New Roman"/>
          <w:u w:val="none"/>
        </w:rPr>
        <w:tab/>
      </w:r>
      <w:r w:rsidRPr="0036630C">
        <w:rPr>
          <w:rFonts w:ascii="Times New Roman" w:hAnsi="Times New Roman" w:cs="Times New Roman"/>
          <w:lang w:val="es-ES"/>
        </w:rPr>
        <w:t>MSCI,</w:t>
      </w:r>
      <w:r w:rsidR="0091582C" w:rsidRPr="0036630C">
        <w:rPr>
          <w:rFonts w:ascii="Times New Roman" w:hAnsi="Times New Roman" w:cs="Times New Roman"/>
          <w:lang w:val="es-ES"/>
        </w:rPr>
        <w:t xml:space="preserve"> ESG Ratings. Disponible en </w:t>
      </w:r>
      <w:hyperlink r:id="rId19" w:history="1">
        <w:r w:rsidR="0091582C" w:rsidRPr="0036630C">
          <w:rPr>
            <w:rStyle w:val="Hyperlink"/>
            <w:rFonts w:ascii="Times New Roman" w:hAnsi="Times New Roman" w:cs="Times New Roman"/>
            <w:lang w:val="es-ES"/>
          </w:rPr>
          <w:t>https://www.msci.com/esg-ratings</w:t>
        </w:r>
      </w:hyperlink>
      <w:r w:rsidR="0091582C" w:rsidRPr="0036630C">
        <w:rPr>
          <w:rFonts w:ascii="Times New Roman" w:hAnsi="Times New Roman" w:cs="Times New Roman"/>
          <w:lang w:val="es-ES"/>
        </w:rPr>
        <w:t xml:space="preserve"> y </w:t>
      </w:r>
      <w:hyperlink r:id="rId20" w:history="1">
        <w:r w:rsidR="0091582C" w:rsidRPr="0036630C">
          <w:rPr>
            <w:rStyle w:val="Hyperlink"/>
            <w:rFonts w:ascii="Times New Roman" w:hAnsi="Times New Roman" w:cs="Times New Roman"/>
            <w:lang w:val="es-ES"/>
          </w:rPr>
          <w:t>https://www.msci.com/research/esg-research</w:t>
        </w:r>
      </w:hyperlink>
      <w:r w:rsidR="0091582C" w:rsidRPr="0036630C">
        <w:rPr>
          <w:rFonts w:ascii="Times New Roman" w:hAnsi="Times New Roman" w:cs="Times New Roman"/>
          <w:lang w:val="es-ES"/>
        </w:rPr>
        <w:t xml:space="preserve"> </w:t>
      </w:r>
    </w:p>
    <w:p w:rsidR="0091582C" w:rsidRPr="0036630C" w:rsidRDefault="0091582C" w:rsidP="00E93C62">
      <w:pPr>
        <w:ind w:left="720" w:hanging="720"/>
        <w:rPr>
          <w:rStyle w:val="Hyperlink"/>
          <w:rFonts w:ascii="Times New Roman" w:hAnsi="Times New Roman" w:cs="Times New Roman"/>
          <w:u w:val="none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-</w:t>
      </w:r>
      <w:r w:rsidRPr="0036630C">
        <w:rPr>
          <w:rStyle w:val="Hyperlink"/>
          <w:rFonts w:ascii="Times New Roman" w:hAnsi="Times New Roman" w:cs="Times New Roman"/>
          <w:u w:val="none"/>
          <w:lang w:val="es-ES"/>
        </w:rPr>
        <w:tab/>
      </w: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S&amp;P Global Platts. Disponible en </w:t>
      </w:r>
      <w:hyperlink r:id="rId21" w:history="1">
        <w:r w:rsidRPr="0036630C">
          <w:rPr>
            <w:rStyle w:val="Hyperlink"/>
            <w:rFonts w:ascii="Times New Roman" w:hAnsi="Times New Roman" w:cs="Times New Roman"/>
            <w:lang w:val="es-ES"/>
          </w:rPr>
          <w:t>https://www.spglobal.com/platts/en</w:t>
        </w:r>
      </w:hyperlink>
    </w:p>
    <w:p w:rsidR="0091582C" w:rsidRPr="0036630C" w:rsidRDefault="0091582C" w:rsidP="0091582C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36630C">
        <w:rPr>
          <w:rStyle w:val="Hyperlink"/>
          <w:rFonts w:ascii="Times New Roman" w:hAnsi="Times New Roman" w:cs="Times New Roman"/>
          <w:u w:val="none"/>
        </w:rPr>
        <w:tab/>
      </w:r>
      <w:r w:rsidRPr="0036630C">
        <w:rPr>
          <w:rStyle w:val="Hyperlink"/>
          <w:rFonts w:ascii="Times New Roman" w:hAnsi="Times New Roman" w:cs="Times New Roman"/>
          <w:color w:val="auto"/>
          <w:u w:val="none"/>
        </w:rPr>
        <w:t>Sustaynalitics, the ESG Ratings</w:t>
      </w:r>
      <w:r w:rsidRPr="0036630C">
        <w:rPr>
          <w:rFonts w:ascii="Times New Roman" w:hAnsi="Times New Roman" w:cs="Times New Roman"/>
        </w:rPr>
        <w:t xml:space="preserve"> </w:t>
      </w:r>
      <w:r w:rsidRPr="0036630C">
        <w:rPr>
          <w:rStyle w:val="Hyperlink"/>
          <w:rFonts w:ascii="Times New Roman" w:hAnsi="Times New Roman" w:cs="Times New Roman"/>
          <w:color w:val="auto"/>
          <w:u w:val="none"/>
        </w:rPr>
        <w:t>Potential Applications for Investors White Paper – Volume 3</w:t>
      </w:r>
      <w:r w:rsidR="00231F01" w:rsidRPr="0036630C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231F01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Junio</w:t>
      </w: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  <w:r w:rsidRPr="0036630C">
        <w:rPr>
          <w:rStyle w:val="Hyperlink"/>
          <w:rFonts w:ascii="Times New Roman" w:hAnsi="Times New Roman" w:cs="Times New Roman"/>
          <w:color w:val="auto"/>
          <w:u w:val="none"/>
        </w:rPr>
        <w:t xml:space="preserve">2019. </w:t>
      </w: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Disponible en </w:t>
      </w:r>
      <w:hyperlink r:id="rId22" w:history="1">
        <w:r w:rsidRPr="0036630C">
          <w:rPr>
            <w:rStyle w:val="Hyperlink"/>
            <w:rFonts w:ascii="Times New Roman" w:hAnsi="Times New Roman" w:cs="Times New Roman"/>
            <w:lang w:val="es-ES"/>
          </w:rPr>
          <w:t>https://marketing.sustainalytics.com/acton/attachment/5105/f-</w:t>
        </w:r>
        <w:r w:rsidRPr="0036630C">
          <w:rPr>
            <w:rStyle w:val="Hyperlink"/>
            <w:rFonts w:ascii="Times New Roman" w:hAnsi="Times New Roman" w:cs="Times New Roman"/>
            <w:lang w:val="es-ES"/>
          </w:rPr>
          <w:lastRenderedPageBreak/>
          <w:t>84b2d516-c650-4abf-8f7c-536007c009c7/1/-/-/-/-/SustainalyticsESGRiskRatings_WhitePaperVolumeThree.pdf?sid=TV2:5GHd78BAO</w:t>
        </w:r>
      </w:hyperlink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</w:p>
    <w:p w:rsidR="0091582C" w:rsidRPr="0036630C" w:rsidRDefault="0091582C" w:rsidP="0091582C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-</w:t>
      </w: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ab/>
      </w:r>
      <w:r w:rsidR="00231F01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CGLytics, Reportes por Industria. Disponible en </w:t>
      </w:r>
      <w:hyperlink r:id="rId23" w:history="1">
        <w:r w:rsidR="00231F01" w:rsidRPr="0036630C">
          <w:rPr>
            <w:rStyle w:val="Hyperlink"/>
            <w:rFonts w:ascii="Times New Roman" w:hAnsi="Times New Roman" w:cs="Times New Roman"/>
            <w:lang w:val="es-ES"/>
          </w:rPr>
          <w:t>https://cglytics.com/thought-leadership/industry-reports/</w:t>
        </w:r>
      </w:hyperlink>
      <w:r w:rsidR="00231F01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</w:p>
    <w:p w:rsidR="007E2406" w:rsidRPr="0036630C" w:rsidRDefault="00231F01" w:rsidP="007E2406">
      <w:pPr>
        <w:ind w:left="720" w:hanging="720"/>
        <w:rPr>
          <w:rStyle w:val="Hyperlink"/>
          <w:rFonts w:ascii="Times New Roman" w:hAnsi="Times New Roman" w:cs="Times New Roman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36630C">
        <w:rPr>
          <w:rStyle w:val="Hyperlink"/>
          <w:rFonts w:ascii="Times New Roman" w:hAnsi="Times New Roman" w:cs="Times New Roman"/>
          <w:color w:val="auto"/>
          <w:u w:val="none"/>
        </w:rPr>
        <w:tab/>
        <w:t xml:space="preserve">Carbon Disclosure Project, Global Climate Change Analysis 2018. </w:t>
      </w: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Disponible en </w:t>
      </w:r>
      <w:hyperlink r:id="rId24" w:history="1">
        <w:r w:rsidRPr="0036630C">
          <w:rPr>
            <w:rStyle w:val="Hyperlink"/>
            <w:rFonts w:ascii="Times New Roman" w:hAnsi="Times New Roman" w:cs="Times New Roman"/>
            <w:lang w:val="es-ES"/>
          </w:rPr>
          <w:t>https://www.cdp.net/en/research/global-reports/global-climate-change-report-2018</w:t>
        </w:r>
      </w:hyperlink>
    </w:p>
    <w:p w:rsidR="007E2406" w:rsidRPr="007E2406" w:rsidRDefault="00231F01" w:rsidP="007E2406">
      <w:pPr>
        <w:ind w:left="720" w:hanging="720"/>
        <w:rPr>
          <w:rFonts w:ascii="Times New Roman" w:hAnsi="Times New Roman" w:cs="Times New Roman"/>
        </w:rPr>
      </w:pPr>
      <w:r w:rsidRPr="007E2406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7E2406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="007E2406" w:rsidRPr="007E2406">
        <w:rPr>
          <w:rStyle w:val="Hyperlink"/>
          <w:rFonts w:ascii="Times New Roman" w:hAnsi="Times New Roman" w:cs="Times New Roman"/>
          <w:color w:val="auto"/>
          <w:u w:val="none"/>
        </w:rPr>
        <w:t xml:space="preserve">S&amp;P Global, </w:t>
      </w:r>
      <w:r w:rsidR="007E2406" w:rsidRPr="007E2406">
        <w:rPr>
          <w:rFonts w:ascii="Times New Roman" w:hAnsi="Times New Roman" w:cs="Times New Roman"/>
        </w:rPr>
        <w:t>The S&amp;P 500® ESG Index: Integrating Environmental, Social, and Governance Values into the Core</w:t>
      </w:r>
      <w:r w:rsidR="007E2406" w:rsidRPr="007E2406">
        <w:rPr>
          <w:rFonts w:ascii="Times New Roman" w:hAnsi="Times New Roman" w:cs="Times New Roman"/>
        </w:rPr>
        <w:t xml:space="preserve">, Abril 2019. </w:t>
      </w:r>
      <w:proofErr w:type="spellStart"/>
      <w:r w:rsidR="007E2406" w:rsidRPr="007E2406">
        <w:rPr>
          <w:rStyle w:val="Hyperlink"/>
          <w:rFonts w:ascii="Times New Roman" w:hAnsi="Times New Roman" w:cs="Times New Roman"/>
          <w:color w:val="auto"/>
          <w:u w:val="none"/>
        </w:rPr>
        <w:t>Disponible</w:t>
      </w:r>
      <w:proofErr w:type="spellEnd"/>
      <w:r w:rsidR="007E2406" w:rsidRPr="007E2406">
        <w:rPr>
          <w:rStyle w:val="Hyperlink"/>
          <w:rFonts w:ascii="Times New Roman" w:hAnsi="Times New Roman" w:cs="Times New Roman"/>
          <w:color w:val="auto"/>
          <w:u w:val="none"/>
        </w:rPr>
        <w:t xml:space="preserve"> en </w:t>
      </w:r>
      <w:hyperlink r:id="rId25" w:history="1">
        <w:r w:rsidR="007E2406" w:rsidRPr="007E2406">
          <w:rPr>
            <w:rStyle w:val="Hyperlink"/>
            <w:rFonts w:ascii="Times New Roman" w:hAnsi="Times New Roman" w:cs="Times New Roman"/>
          </w:rPr>
          <w:t>https://www.spglobal.com/_media/documents/the-sp-500-esg-index-integrating-esg-values-into-the-core.pdf</w:t>
        </w:r>
      </w:hyperlink>
    </w:p>
    <w:p w:rsidR="007E2406" w:rsidRDefault="007E2406" w:rsidP="007E2406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  <w:lang w:val="es-ES"/>
        </w:rPr>
      </w:pPr>
      <w:r w:rsidRPr="007E2406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7E2406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7E2406">
        <w:rPr>
          <w:rStyle w:val="Hyperlink"/>
          <w:rFonts w:ascii="Times New Roman" w:hAnsi="Times New Roman" w:cs="Times New Roman"/>
          <w:color w:val="auto"/>
          <w:u w:val="none"/>
        </w:rPr>
        <w:t xml:space="preserve">S&amp;P Global, </w:t>
      </w:r>
      <w:r w:rsidRPr="007E2406">
        <w:rPr>
          <w:rFonts w:ascii="Times New Roman" w:hAnsi="Times New Roman" w:cs="Times New Roman"/>
        </w:rPr>
        <w:t xml:space="preserve">Environmental, Social, And Governance Evaluation </w:t>
      </w:r>
      <w:r w:rsidRPr="007E2406">
        <w:rPr>
          <w:rFonts w:ascii="Times New Roman" w:hAnsi="Times New Roman" w:cs="Times New Roman"/>
        </w:rPr>
        <w:t>Analytical Approach</w:t>
      </w:r>
      <w:r w:rsidRPr="007E2406">
        <w:rPr>
          <w:rFonts w:ascii="Times New Roman" w:hAnsi="Times New Roman" w:cs="Times New Roman"/>
        </w:rPr>
        <w:t>, 10 Abril 2019</w:t>
      </w:r>
      <w:r w:rsidRPr="007E2406">
        <w:rPr>
          <w:rFonts w:ascii="Times New Roman" w:hAnsi="Times New Roman" w:cs="Times New Roman"/>
        </w:rPr>
        <w:t xml:space="preserve">. </w:t>
      </w:r>
      <w:r w:rsidRPr="007E2406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Disponible en </w:t>
      </w:r>
      <w:hyperlink r:id="rId26" w:history="1">
        <w:r w:rsidRPr="007E2406">
          <w:rPr>
            <w:rStyle w:val="Hyperlink"/>
            <w:rFonts w:ascii="Times New Roman" w:hAnsi="Times New Roman" w:cs="Times New Roman"/>
            <w:lang w:val="es-ES"/>
          </w:rPr>
          <w:t>https://www.spglobal.com/_Assets/documents/Ratings/RatingsDirect_EnvironmentalSocialAndGovernanceEvaluationAnalyticalApproach_1176513_Apr-10-2019.pdf</w:t>
        </w:r>
      </w:hyperlink>
      <w:r w:rsidRPr="007E2406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</w:p>
    <w:p w:rsidR="007E2406" w:rsidRPr="00BB18CE" w:rsidRDefault="007E2406" w:rsidP="007E2406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  <w:lang w:val="es-ES"/>
        </w:rPr>
      </w:pPr>
      <w:r w:rsidRPr="007E2406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7E2406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BB18CE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Climate Bonds </w:t>
      </w:r>
      <w:proofErr w:type="spellStart"/>
      <w:r w:rsidRPr="00BB18CE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Initiative</w:t>
      </w:r>
      <w:proofErr w:type="spellEnd"/>
      <w:r w:rsidRPr="00BB18CE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. Disponible en </w:t>
      </w:r>
      <w:hyperlink r:id="rId27" w:history="1">
        <w:r w:rsidRPr="00BB18CE">
          <w:rPr>
            <w:rStyle w:val="Hyperlink"/>
            <w:rFonts w:ascii="Times New Roman" w:hAnsi="Times New Roman" w:cs="Times New Roman"/>
            <w:lang w:val="es-ES"/>
          </w:rPr>
          <w:t>https://www.climatebonds.net/</w:t>
        </w:r>
      </w:hyperlink>
    </w:p>
    <w:p w:rsidR="007E2406" w:rsidRDefault="007E2406" w:rsidP="00BB18CE">
      <w:pPr>
        <w:ind w:left="720" w:hanging="720"/>
        <w:rPr>
          <w:rFonts w:ascii="Times New Roman" w:hAnsi="Times New Roman" w:cs="Times New Roman"/>
          <w:lang w:val="es-ES"/>
        </w:rPr>
      </w:pPr>
      <w:r w:rsidRPr="00BB18CE">
        <w:rPr>
          <w:rFonts w:ascii="Times New Roman" w:hAnsi="Times New Roman" w:cs="Times New Roman"/>
          <w:lang w:val="es-ES"/>
        </w:rPr>
        <w:t>-</w:t>
      </w:r>
      <w:r w:rsidRPr="00BB18CE">
        <w:rPr>
          <w:rFonts w:ascii="Times New Roman" w:hAnsi="Times New Roman" w:cs="Times New Roman"/>
          <w:lang w:val="es-ES"/>
        </w:rPr>
        <w:tab/>
        <w:t xml:space="preserve">Deutsche Bank, Corporate Bank Research, </w:t>
      </w:r>
      <w:r w:rsidR="00BB18CE" w:rsidRPr="00BB18CE">
        <w:rPr>
          <w:rFonts w:ascii="Times New Roman" w:hAnsi="Times New Roman" w:cs="Times New Roman"/>
          <w:lang w:val="es-ES"/>
        </w:rPr>
        <w:t>Climate</w:t>
      </w:r>
      <w:r w:rsidR="00BB18CE" w:rsidRPr="00BB18C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BB18CE" w:rsidRPr="00BB18CE">
        <w:rPr>
          <w:rFonts w:ascii="Times New Roman" w:hAnsi="Times New Roman" w:cs="Times New Roman"/>
          <w:lang w:val="es-ES"/>
        </w:rPr>
        <w:t>Change</w:t>
      </w:r>
      <w:proofErr w:type="spellEnd"/>
      <w:r w:rsidR="00BB18CE" w:rsidRPr="00BB18CE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="00BB18CE" w:rsidRPr="00BB18CE">
        <w:rPr>
          <w:rFonts w:ascii="Times New Roman" w:hAnsi="Times New Roman" w:cs="Times New Roman"/>
          <w:lang w:val="es-ES"/>
        </w:rPr>
        <w:t>Corporates</w:t>
      </w:r>
      <w:proofErr w:type="spellEnd"/>
      <w:r w:rsidR="00BB18CE" w:rsidRPr="00BB18CE">
        <w:rPr>
          <w:rFonts w:ascii="Times New Roman" w:hAnsi="Times New Roman" w:cs="Times New Roman"/>
          <w:lang w:val="es-ES"/>
        </w:rPr>
        <w:t xml:space="preserve">: </w:t>
      </w:r>
      <w:proofErr w:type="spellStart"/>
      <w:r w:rsidR="00BB18CE" w:rsidRPr="00BB18CE">
        <w:rPr>
          <w:rFonts w:ascii="Times New Roman" w:hAnsi="Times New Roman" w:cs="Times New Roman"/>
          <w:lang w:val="es-ES"/>
        </w:rPr>
        <w:t>past</w:t>
      </w:r>
      <w:proofErr w:type="spellEnd"/>
      <w:r w:rsidR="00BB18CE" w:rsidRPr="00BB18C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BB18CE" w:rsidRPr="00BB18CE">
        <w:rPr>
          <w:rFonts w:ascii="Times New Roman" w:hAnsi="Times New Roman" w:cs="Times New Roman"/>
          <w:lang w:val="es-ES"/>
        </w:rPr>
        <w:t>the</w:t>
      </w:r>
      <w:proofErr w:type="spellEnd"/>
      <w:r w:rsidR="00BB18CE" w:rsidRPr="00BB18C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BB18CE" w:rsidRPr="00BB18CE">
        <w:rPr>
          <w:rFonts w:ascii="Times New Roman" w:hAnsi="Times New Roman" w:cs="Times New Roman"/>
          <w:lang w:val="es-ES"/>
        </w:rPr>
        <w:t>tipping</w:t>
      </w:r>
      <w:proofErr w:type="spellEnd"/>
      <w:r w:rsidR="00BB18CE" w:rsidRPr="00BB18C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BB18CE" w:rsidRPr="00BB18CE">
        <w:rPr>
          <w:rFonts w:ascii="Times New Roman" w:hAnsi="Times New Roman" w:cs="Times New Roman"/>
          <w:lang w:val="es-ES"/>
        </w:rPr>
        <w:t>point</w:t>
      </w:r>
      <w:proofErr w:type="spellEnd"/>
      <w:r w:rsidR="00BB18CE" w:rsidRPr="00BB18C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BB18CE" w:rsidRPr="00BB18CE">
        <w:rPr>
          <w:rFonts w:ascii="Times New Roman" w:hAnsi="Times New Roman" w:cs="Times New Roman"/>
          <w:lang w:val="es-ES"/>
        </w:rPr>
        <w:t>with</w:t>
      </w:r>
      <w:proofErr w:type="spellEnd"/>
      <w:r w:rsidR="00BB18CE" w:rsidRPr="00BB18C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BB18CE" w:rsidRPr="00BB18CE">
        <w:rPr>
          <w:rFonts w:ascii="Times New Roman" w:hAnsi="Times New Roman" w:cs="Times New Roman"/>
          <w:lang w:val="es-ES"/>
        </w:rPr>
        <w:t>customers</w:t>
      </w:r>
      <w:proofErr w:type="spellEnd"/>
      <w:r w:rsidR="00BB18CE" w:rsidRPr="00BB18CE">
        <w:rPr>
          <w:rFonts w:ascii="Times New Roman" w:hAnsi="Times New Roman" w:cs="Times New Roman"/>
          <w:lang w:val="es-ES"/>
        </w:rPr>
        <w:t xml:space="preserve"> and stock</w:t>
      </w:r>
      <w:r w:rsidR="00BB18CE" w:rsidRPr="00BB18C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BB18CE" w:rsidRPr="00BB18CE">
        <w:rPr>
          <w:rFonts w:ascii="Times New Roman" w:hAnsi="Times New Roman" w:cs="Times New Roman"/>
          <w:lang w:val="es-ES"/>
        </w:rPr>
        <w:t>markets</w:t>
      </w:r>
      <w:proofErr w:type="spellEnd"/>
      <w:r w:rsidR="00BB18CE" w:rsidRPr="00BB18CE">
        <w:rPr>
          <w:rFonts w:ascii="Times New Roman" w:hAnsi="Times New Roman" w:cs="Times New Roman"/>
          <w:lang w:val="es-ES"/>
        </w:rPr>
        <w:t>, Septiembre 2019</w:t>
      </w:r>
      <w:r w:rsidRPr="00BB18CE">
        <w:rPr>
          <w:rFonts w:ascii="Times New Roman" w:hAnsi="Times New Roman" w:cs="Times New Roman"/>
          <w:lang w:val="es-ES"/>
        </w:rPr>
        <w:t xml:space="preserve">. Disponible en  </w:t>
      </w:r>
      <w:hyperlink r:id="rId28" w:history="1">
        <w:r w:rsidRPr="00BB18CE">
          <w:rPr>
            <w:rStyle w:val="Hyperlink"/>
            <w:rFonts w:ascii="Times New Roman" w:hAnsi="Times New Roman" w:cs="Times New Roman"/>
            <w:lang w:val="es-ES"/>
          </w:rPr>
          <w:t>https://www.dbresearch.com/PROD/RPS_EN-PROD/PROD0000000000500285.pdf</w:t>
        </w:r>
      </w:hyperlink>
      <w:r w:rsidRPr="00BB18CE">
        <w:rPr>
          <w:rFonts w:ascii="Times New Roman" w:hAnsi="Times New Roman" w:cs="Times New Roman"/>
          <w:lang w:val="es-ES"/>
        </w:rPr>
        <w:t xml:space="preserve"> </w:t>
      </w:r>
    </w:p>
    <w:p w:rsidR="00BB18CE" w:rsidRPr="00BB18CE" w:rsidRDefault="00BB18CE" w:rsidP="00BB18CE">
      <w:pPr>
        <w:ind w:left="720" w:hanging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World Bank, Quality </w:t>
      </w:r>
      <w:proofErr w:type="gramStart"/>
      <w:r>
        <w:rPr>
          <w:rFonts w:ascii="Times New Roman" w:hAnsi="Times New Roman" w:cs="Times New Roman"/>
        </w:rPr>
        <w:t>Unknown</w:t>
      </w:r>
      <w:proofErr w:type="gramEnd"/>
      <w:r>
        <w:rPr>
          <w:rFonts w:ascii="Times New Roman" w:hAnsi="Times New Roman" w:cs="Times New Roman"/>
        </w:rPr>
        <w:t xml:space="preserve">: the invisible water crisis. </w:t>
      </w:r>
      <w:r w:rsidRPr="00BB18CE">
        <w:rPr>
          <w:rFonts w:ascii="Times New Roman" w:hAnsi="Times New Roman" w:cs="Times New Roman"/>
          <w:lang w:val="es-ES"/>
        </w:rPr>
        <w:t xml:space="preserve">Disponible en </w:t>
      </w:r>
      <w:hyperlink r:id="rId29" w:history="1">
        <w:r w:rsidRPr="00BB18CE">
          <w:rPr>
            <w:rStyle w:val="Hyperlink"/>
            <w:lang w:val="es-ES"/>
          </w:rPr>
          <w:t>https://openknowledge.worldbank.org/bitstream/handle/10986/32245/9781464814594.pdf?sequence=8</w:t>
        </w:r>
      </w:hyperlink>
    </w:p>
    <w:p w:rsidR="00BB18CE" w:rsidRDefault="00BB18CE" w:rsidP="00BB18CE">
      <w:pPr>
        <w:ind w:left="720" w:hanging="720"/>
        <w:rPr>
          <w:rFonts w:ascii="Times New Roman" w:hAnsi="Times New Roman" w:cs="Times New Roman"/>
          <w:lang w:val="es-ES"/>
        </w:rPr>
      </w:pPr>
      <w:r w:rsidRPr="00BB18CE">
        <w:rPr>
          <w:rFonts w:ascii="Times New Roman" w:hAnsi="Times New Roman" w:cs="Times New Roman"/>
        </w:rPr>
        <w:t>-</w:t>
      </w:r>
      <w:r w:rsidRPr="00BB18CE">
        <w:rPr>
          <w:rFonts w:ascii="Times New Roman" w:hAnsi="Times New Roman" w:cs="Times New Roman"/>
        </w:rPr>
        <w:tab/>
        <w:t>BBVA, ESG Bond Market, Key topics and trends for 2019 and beyond – getting the harmony right</w:t>
      </w:r>
      <w:r>
        <w:rPr>
          <w:rFonts w:ascii="Times New Roman" w:hAnsi="Times New Roman" w:cs="Times New Roman"/>
        </w:rPr>
        <w:t xml:space="preserve">, 23 Julio 2019. </w:t>
      </w:r>
      <w:r w:rsidRPr="00BB18CE">
        <w:rPr>
          <w:rFonts w:ascii="Times New Roman" w:hAnsi="Times New Roman" w:cs="Times New Roman"/>
          <w:lang w:val="es-ES"/>
        </w:rPr>
        <w:t xml:space="preserve">Disponible en </w:t>
      </w:r>
      <w:hyperlink r:id="rId30" w:history="1">
        <w:r w:rsidRPr="00A63A01">
          <w:rPr>
            <w:rStyle w:val="Hyperlink"/>
            <w:rFonts w:ascii="Times New Roman" w:hAnsi="Times New Roman" w:cs="Times New Roman"/>
            <w:lang w:val="es-ES"/>
          </w:rPr>
          <w:t>https://www.bbva.com/wp-content/uploads/2019/07/Green-Bonds-Getting-the-harmony-right.pdf</w:t>
        </w:r>
      </w:hyperlink>
      <w:r>
        <w:rPr>
          <w:rFonts w:ascii="Times New Roman" w:hAnsi="Times New Roman" w:cs="Times New Roman"/>
          <w:lang w:val="es-ES"/>
        </w:rPr>
        <w:t xml:space="preserve"> </w:t>
      </w:r>
    </w:p>
    <w:p w:rsidR="008752D4" w:rsidRPr="00BB18CE" w:rsidRDefault="00BB18CE" w:rsidP="00BB18CE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  <w:lang w:val="es-ES"/>
        </w:rPr>
      </w:pPr>
      <w:r>
        <w:rPr>
          <w:rFonts w:ascii="Times New Roman" w:hAnsi="Times New Roman" w:cs="Times New Roman"/>
          <w:lang w:val="es-ES"/>
        </w:rPr>
        <w:t>-</w:t>
      </w:r>
      <w:r>
        <w:rPr>
          <w:rFonts w:ascii="Times New Roman" w:hAnsi="Times New Roman" w:cs="Times New Roman"/>
          <w:lang w:val="es-ES"/>
        </w:rPr>
        <w:tab/>
        <w:t xml:space="preserve">BP </w:t>
      </w:r>
      <w:proofErr w:type="spellStart"/>
      <w:r>
        <w:rPr>
          <w:rFonts w:ascii="Times New Roman" w:hAnsi="Times New Roman" w:cs="Times New Roman"/>
          <w:lang w:val="es-ES"/>
        </w:rPr>
        <w:t>plc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Energy</w:t>
      </w:r>
      <w:proofErr w:type="spellEnd"/>
      <w:r>
        <w:rPr>
          <w:rFonts w:ascii="Times New Roman" w:hAnsi="Times New Roman" w:cs="Times New Roman"/>
          <w:lang w:val="es-ES"/>
        </w:rPr>
        <w:t xml:space="preserve"> Outlook. Disponible en </w:t>
      </w:r>
      <w:hyperlink r:id="rId31" w:history="1">
        <w:r>
          <w:rPr>
            <w:rStyle w:val="Hyperlink"/>
          </w:rPr>
          <w:t>https://www.bp.com/en/global/corporate/energy-economics/energy-outlook.html</w:t>
        </w:r>
      </w:hyperlink>
    </w:p>
    <w:p w:rsidR="00E83200" w:rsidRPr="0036630C" w:rsidRDefault="00E83200" w:rsidP="00E83200">
      <w:pPr>
        <w:pStyle w:val="ListParagraph"/>
        <w:rPr>
          <w:rStyle w:val="Hyperlink"/>
          <w:rFonts w:ascii="Times New Roman" w:hAnsi="Times New Roman" w:cs="Times New Roman"/>
          <w:lang w:val="es-ES"/>
        </w:rPr>
      </w:pPr>
    </w:p>
    <w:p w:rsidR="00CC463E" w:rsidRPr="0036630C" w:rsidRDefault="00D77E71" w:rsidP="00D77E71">
      <w:p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s-ES"/>
        </w:rPr>
      </w:pPr>
      <w:r w:rsidRPr="0036630C">
        <w:rPr>
          <w:rFonts w:ascii="Times New Roman" w:hAnsi="Times New Roman" w:cs="Times New Roman"/>
          <w:b/>
          <w:sz w:val="24"/>
          <w:szCs w:val="24"/>
          <w:lang w:val="es-ES"/>
        </w:rPr>
        <w:t>5.1.2. Herramientas:</w:t>
      </w:r>
    </w:p>
    <w:p w:rsidR="00231F01" w:rsidRPr="0036630C" w:rsidRDefault="0091582C" w:rsidP="00231F01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-</w:t>
      </w: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ab/>
      </w:r>
      <w:r w:rsidR="00231F01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Índice S&amp;P 500 ESG (Dólar Americano). Disponible en </w:t>
      </w:r>
      <w:hyperlink r:id="rId32" w:history="1">
        <w:r w:rsidR="00231F01" w:rsidRPr="0036630C">
          <w:rPr>
            <w:rStyle w:val="Hyperlink"/>
            <w:rFonts w:ascii="Times New Roman" w:hAnsi="Times New Roman" w:cs="Times New Roman"/>
            <w:lang w:val="es-ES"/>
          </w:rPr>
          <w:t>https://us.spindices.com/indices/equity/sp-500-esg-index-usd</w:t>
        </w:r>
      </w:hyperlink>
      <w:r w:rsidR="00231F01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</w:p>
    <w:p w:rsidR="0091582C" w:rsidRPr="0036630C" w:rsidRDefault="00231F01" w:rsidP="00231F01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-</w:t>
      </w: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ab/>
      </w:r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Índice de Materialidad del </w:t>
      </w:r>
      <w:proofErr w:type="spellStart"/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Sustai</w:t>
      </w: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na</w:t>
      </w:r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bility</w:t>
      </w:r>
      <w:proofErr w:type="spellEnd"/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  <w:proofErr w:type="spellStart"/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Accounting</w:t>
      </w:r>
      <w:proofErr w:type="spellEnd"/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  <w:proofErr w:type="spellStart"/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Standards</w:t>
      </w:r>
      <w:proofErr w:type="spellEnd"/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  <w:proofErr w:type="spellStart"/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Board</w:t>
      </w:r>
      <w:proofErr w:type="spellEnd"/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(</w:t>
      </w:r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SASB</w:t>
      </w:r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)</w:t>
      </w:r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. Disponible</w:t>
      </w:r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en </w:t>
      </w:r>
      <w:hyperlink r:id="rId33" w:history="1">
        <w:r w:rsidR="0091582C" w:rsidRPr="0036630C">
          <w:rPr>
            <w:rStyle w:val="Hyperlink"/>
            <w:rFonts w:ascii="Times New Roman" w:hAnsi="Times New Roman" w:cs="Times New Roman"/>
            <w:lang w:val="es-ES"/>
          </w:rPr>
          <w:t>https://materiality.sasb.org/</w:t>
        </w:r>
      </w:hyperlink>
      <w:r w:rsidR="0091582C"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</w:p>
    <w:p w:rsidR="00D77E71" w:rsidRPr="0036630C" w:rsidRDefault="00D77E71" w:rsidP="00D77E71">
      <w:pPr>
        <w:rPr>
          <w:rStyle w:val="Hyperlink"/>
          <w:rFonts w:ascii="Times New Roman" w:hAnsi="Times New Roman" w:cs="Times New Roman"/>
          <w:lang w:val="es-ES"/>
        </w:rPr>
      </w:pP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-</w:t>
      </w:r>
      <w:r w:rsidRPr="0036630C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ab/>
      </w:r>
      <w:r w:rsidRPr="0036630C">
        <w:rPr>
          <w:rFonts w:ascii="Times New Roman" w:hAnsi="Times New Roman" w:cs="Times New Roman"/>
          <w:lang w:val="es-ES"/>
        </w:rPr>
        <w:t>Arabesque,</w:t>
      </w:r>
      <w:r w:rsidR="00231F01" w:rsidRPr="0036630C">
        <w:rPr>
          <w:rFonts w:ascii="Times New Roman" w:hAnsi="Times New Roman" w:cs="Times New Roman"/>
          <w:lang w:val="es-ES"/>
        </w:rPr>
        <w:t xml:space="preserve"> S-Ray,</w:t>
      </w:r>
      <w:r w:rsidRPr="0036630C">
        <w:rPr>
          <w:rFonts w:ascii="Times New Roman" w:hAnsi="Times New Roman" w:cs="Times New Roman"/>
          <w:lang w:val="es-ES"/>
        </w:rPr>
        <w:t xml:space="preserve"> Disponible en </w:t>
      </w:r>
      <w:hyperlink r:id="rId34" w:history="1">
        <w:r w:rsidRPr="0036630C">
          <w:rPr>
            <w:rStyle w:val="Hyperlink"/>
            <w:rFonts w:ascii="Times New Roman" w:hAnsi="Times New Roman" w:cs="Times New Roman"/>
            <w:lang w:val="es-ES"/>
          </w:rPr>
          <w:t>https://sray.arabesque.com/</w:t>
        </w:r>
      </w:hyperlink>
    </w:p>
    <w:p w:rsidR="003F717E" w:rsidRPr="0036630C" w:rsidRDefault="003F717E" w:rsidP="00D77E71">
      <w:pPr>
        <w:rPr>
          <w:rStyle w:val="Hyperlink"/>
          <w:rFonts w:ascii="Times New Roman" w:hAnsi="Times New Roman" w:cs="Times New Roman"/>
          <w:lang w:val="es-ES"/>
        </w:rPr>
      </w:pPr>
      <w:r w:rsidRPr="0036630C">
        <w:rPr>
          <w:rFonts w:ascii="Times New Roman" w:hAnsi="Times New Roman" w:cs="Times New Roman"/>
          <w:lang w:val="es-ES"/>
        </w:rPr>
        <w:t xml:space="preserve">- </w:t>
      </w:r>
      <w:r w:rsidRPr="0036630C">
        <w:rPr>
          <w:rFonts w:ascii="Times New Roman" w:hAnsi="Times New Roman" w:cs="Times New Roman"/>
          <w:lang w:val="es-ES"/>
        </w:rPr>
        <w:tab/>
      </w:r>
      <w:r w:rsidR="00D77E71" w:rsidRPr="0036630C">
        <w:rPr>
          <w:rFonts w:ascii="Times New Roman" w:hAnsi="Times New Roman" w:cs="Times New Roman"/>
          <w:lang w:val="es-ES"/>
        </w:rPr>
        <w:t xml:space="preserve">Statista. Disponible en </w:t>
      </w:r>
      <w:hyperlink r:id="rId35" w:history="1">
        <w:r w:rsidRPr="0036630C">
          <w:rPr>
            <w:rStyle w:val="Hyperlink"/>
            <w:rFonts w:ascii="Times New Roman" w:hAnsi="Times New Roman" w:cs="Times New Roman"/>
            <w:lang w:val="es-ES"/>
          </w:rPr>
          <w:t>https://www.statista.com/</w:t>
        </w:r>
      </w:hyperlink>
    </w:p>
    <w:p w:rsidR="003F717E" w:rsidRPr="00D77E71" w:rsidRDefault="003F717E" w:rsidP="00D77E71">
      <w:pPr>
        <w:rPr>
          <w:lang w:val="es-ES"/>
        </w:rPr>
      </w:pPr>
    </w:p>
    <w:p w:rsidR="000519E8" w:rsidRPr="00E83200" w:rsidRDefault="000519E8" w:rsidP="00E83200">
      <w:pPr>
        <w:spacing w:after="0"/>
        <w:ind w:left="360"/>
        <w:rPr>
          <w:rFonts w:ascii="Times New Roman" w:hAnsi="Times New Roman" w:cs="Times New Roman"/>
          <w:sz w:val="20"/>
          <w:szCs w:val="20"/>
          <w:lang w:val="es-ES"/>
        </w:rPr>
      </w:pPr>
    </w:p>
    <w:p w:rsidR="0052144E" w:rsidRPr="00E83200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Pr="00E83200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Pr="00E83200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52144E" w:rsidRPr="000E09EE" w:rsidRDefault="0052144E" w:rsidP="00C044A4">
      <w:pPr>
        <w:rPr>
          <w:rFonts w:ascii="Times New Roman" w:hAnsi="Times New Roman" w:cs="Times New Roman"/>
          <w:b/>
          <w:lang w:val="es-ES"/>
        </w:rPr>
      </w:pPr>
    </w:p>
    <w:p w:rsidR="00CC463E" w:rsidRDefault="00CC463E" w:rsidP="00C044A4">
      <w:pPr>
        <w:rPr>
          <w:rFonts w:ascii="Times New Roman" w:hAnsi="Times New Roman" w:cs="Times New Roman"/>
          <w:b/>
          <w:lang w:val="es-ES"/>
        </w:rPr>
      </w:pPr>
    </w:p>
    <w:p w:rsidR="00287D09" w:rsidRDefault="00287D09" w:rsidP="00C044A4">
      <w:pPr>
        <w:rPr>
          <w:rFonts w:ascii="Times New Roman" w:hAnsi="Times New Roman" w:cs="Times New Roman"/>
          <w:b/>
          <w:lang w:val="es-ES"/>
        </w:rPr>
      </w:pPr>
    </w:p>
    <w:p w:rsidR="00287D09" w:rsidRDefault="00287D09" w:rsidP="00C044A4">
      <w:pPr>
        <w:rPr>
          <w:rFonts w:ascii="Times New Roman" w:hAnsi="Times New Roman" w:cs="Times New Roman"/>
          <w:b/>
          <w:lang w:val="es-ES"/>
        </w:rPr>
      </w:pPr>
    </w:p>
    <w:p w:rsidR="00287D09" w:rsidRDefault="00287D09" w:rsidP="00C044A4">
      <w:pPr>
        <w:rPr>
          <w:rFonts w:ascii="Times New Roman" w:hAnsi="Times New Roman" w:cs="Times New Roman"/>
          <w:b/>
          <w:lang w:val="es-ES"/>
        </w:rPr>
      </w:pPr>
    </w:p>
    <w:p w:rsidR="00C044A4" w:rsidRPr="00287D09" w:rsidRDefault="0052144E" w:rsidP="00C044A4">
      <w:pPr>
        <w:rPr>
          <w:rFonts w:ascii="Times New Roman" w:hAnsi="Times New Roman" w:cs="Times New Roman"/>
          <w:b/>
          <w:lang w:val="es-ES"/>
        </w:rPr>
      </w:pPr>
      <w:r w:rsidRPr="00287D09">
        <w:rPr>
          <w:rFonts w:ascii="Times New Roman" w:hAnsi="Times New Roman" w:cs="Times New Roman"/>
          <w:b/>
          <w:lang w:val="es-ES"/>
        </w:rPr>
        <w:t>6</w:t>
      </w:r>
      <w:r w:rsidR="00C044A4" w:rsidRPr="00287D09">
        <w:rPr>
          <w:rFonts w:ascii="Times New Roman" w:hAnsi="Times New Roman" w:cs="Times New Roman"/>
          <w:b/>
          <w:lang w:val="es-ES"/>
        </w:rPr>
        <w:t>. Cronograma de las tareas a realizar</w:t>
      </w:r>
      <w:r w:rsidR="005B7B51" w:rsidRPr="00287D09">
        <w:rPr>
          <w:rFonts w:ascii="Times New Roman" w:hAnsi="Times New Roman" w:cs="Times New Roman"/>
          <w:b/>
          <w:lang w:val="es-ES"/>
        </w:rPr>
        <w:t xml:space="preserve"> (2019-20)</w:t>
      </w:r>
      <w:r w:rsidR="00C044A4" w:rsidRPr="00287D09">
        <w:rPr>
          <w:rFonts w:ascii="Times New Roman" w:hAnsi="Times New Roman" w:cs="Times New Roman"/>
          <w:b/>
          <w:lang w:val="es-ES"/>
        </w:rPr>
        <w:t>.</w:t>
      </w:r>
    </w:p>
    <w:p w:rsidR="00BD1EB5" w:rsidRPr="00287D09" w:rsidRDefault="00BD1EB5" w:rsidP="00C044A4">
      <w:pPr>
        <w:rPr>
          <w:rFonts w:ascii="Times New Roman" w:hAnsi="Times New Roman" w:cs="Times New Roman"/>
          <w:b/>
          <w:lang w:val="es-ES"/>
        </w:rPr>
      </w:pPr>
    </w:p>
    <w:tbl>
      <w:tblPr>
        <w:tblStyle w:val="TableGrid"/>
        <w:tblW w:w="8859" w:type="dxa"/>
        <w:tblLook w:val="04A0" w:firstRow="1" w:lastRow="0" w:firstColumn="1" w:lastColumn="0" w:noHBand="0" w:noVBand="1"/>
      </w:tblPr>
      <w:tblGrid>
        <w:gridCol w:w="1321"/>
        <w:gridCol w:w="1232"/>
        <w:gridCol w:w="1021"/>
        <w:gridCol w:w="1058"/>
        <w:gridCol w:w="1032"/>
        <w:gridCol w:w="1002"/>
        <w:gridCol w:w="1019"/>
        <w:gridCol w:w="1174"/>
      </w:tblGrid>
      <w:tr w:rsidR="00CC463E" w:rsidRPr="00287D09" w:rsidTr="00CC463E">
        <w:trPr>
          <w:trHeight w:val="326"/>
        </w:trPr>
        <w:tc>
          <w:tcPr>
            <w:tcW w:w="1321" w:type="dxa"/>
          </w:tcPr>
          <w:p w:rsidR="00CC463E" w:rsidRPr="00287D09" w:rsidRDefault="00CC463E" w:rsidP="000E09E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287D09">
              <w:rPr>
                <w:rFonts w:ascii="Times New Roman" w:hAnsi="Times New Roman" w:cs="Times New Roman"/>
                <w:b/>
                <w:lang w:val="es-ES"/>
              </w:rPr>
              <w:t>Noviembre</w:t>
            </w:r>
          </w:p>
        </w:tc>
        <w:tc>
          <w:tcPr>
            <w:tcW w:w="1232" w:type="dxa"/>
          </w:tcPr>
          <w:p w:rsidR="00CC463E" w:rsidRPr="00287D09" w:rsidRDefault="00CC463E" w:rsidP="000E09E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287D09">
              <w:rPr>
                <w:rFonts w:ascii="Times New Roman" w:hAnsi="Times New Roman" w:cs="Times New Roman"/>
                <w:b/>
                <w:lang w:val="es-ES"/>
              </w:rPr>
              <w:t>Diciembre</w:t>
            </w:r>
          </w:p>
        </w:tc>
        <w:tc>
          <w:tcPr>
            <w:tcW w:w="1021" w:type="dxa"/>
          </w:tcPr>
          <w:p w:rsidR="00CC463E" w:rsidRPr="00287D09" w:rsidRDefault="00CC463E" w:rsidP="000E09E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287D09">
              <w:rPr>
                <w:rFonts w:ascii="Times New Roman" w:hAnsi="Times New Roman" w:cs="Times New Roman"/>
                <w:b/>
                <w:lang w:val="es-ES"/>
              </w:rPr>
              <w:t>Enero</w:t>
            </w:r>
          </w:p>
        </w:tc>
        <w:tc>
          <w:tcPr>
            <w:tcW w:w="1058" w:type="dxa"/>
          </w:tcPr>
          <w:p w:rsidR="00CC463E" w:rsidRPr="00287D09" w:rsidRDefault="00CC463E" w:rsidP="000E09E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287D09">
              <w:rPr>
                <w:rFonts w:ascii="Times New Roman" w:hAnsi="Times New Roman" w:cs="Times New Roman"/>
                <w:b/>
                <w:lang w:val="es-ES"/>
              </w:rPr>
              <w:t>Febrero</w:t>
            </w:r>
          </w:p>
        </w:tc>
        <w:tc>
          <w:tcPr>
            <w:tcW w:w="1032" w:type="dxa"/>
          </w:tcPr>
          <w:p w:rsidR="00CC463E" w:rsidRPr="00287D09" w:rsidRDefault="00CC463E" w:rsidP="000E09E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287D09">
              <w:rPr>
                <w:rFonts w:ascii="Times New Roman" w:hAnsi="Times New Roman" w:cs="Times New Roman"/>
                <w:b/>
                <w:lang w:val="es-ES"/>
              </w:rPr>
              <w:t>Marzo</w:t>
            </w:r>
          </w:p>
        </w:tc>
        <w:tc>
          <w:tcPr>
            <w:tcW w:w="1002" w:type="dxa"/>
          </w:tcPr>
          <w:p w:rsidR="00CC463E" w:rsidRPr="00287D09" w:rsidRDefault="00CC463E" w:rsidP="000E09E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287D09">
              <w:rPr>
                <w:rFonts w:ascii="Times New Roman" w:hAnsi="Times New Roman" w:cs="Times New Roman"/>
                <w:b/>
                <w:lang w:val="es-ES"/>
              </w:rPr>
              <w:t>Abril</w:t>
            </w:r>
          </w:p>
        </w:tc>
        <w:tc>
          <w:tcPr>
            <w:tcW w:w="1019" w:type="dxa"/>
          </w:tcPr>
          <w:p w:rsidR="00CC463E" w:rsidRPr="00287D09" w:rsidRDefault="00CC463E" w:rsidP="000E09E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287D09">
              <w:rPr>
                <w:rFonts w:ascii="Times New Roman" w:hAnsi="Times New Roman" w:cs="Times New Roman"/>
                <w:b/>
                <w:lang w:val="es-ES"/>
              </w:rPr>
              <w:t>Mayo</w:t>
            </w:r>
          </w:p>
        </w:tc>
        <w:tc>
          <w:tcPr>
            <w:tcW w:w="1174" w:type="dxa"/>
          </w:tcPr>
          <w:p w:rsidR="00CC463E" w:rsidRPr="00287D09" w:rsidRDefault="00CC463E" w:rsidP="000E09E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287D09">
              <w:rPr>
                <w:rFonts w:ascii="Times New Roman" w:hAnsi="Times New Roman" w:cs="Times New Roman"/>
                <w:b/>
                <w:lang w:val="es-ES"/>
              </w:rPr>
              <w:t>Junio</w:t>
            </w:r>
          </w:p>
        </w:tc>
      </w:tr>
      <w:tr w:rsidR="00FC3CDF" w:rsidRPr="00287D09" w:rsidTr="00CC463E">
        <w:trPr>
          <w:trHeight w:val="326"/>
        </w:trPr>
        <w:tc>
          <w:tcPr>
            <w:tcW w:w="1321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Entrega del Proyecto</w:t>
            </w:r>
          </w:p>
        </w:tc>
        <w:tc>
          <w:tcPr>
            <w:tcW w:w="1232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21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58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32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2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19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174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FC3CDF" w:rsidRPr="00FC3CDF" w:rsidTr="00CC463E">
        <w:trPr>
          <w:trHeight w:val="307"/>
        </w:trPr>
        <w:tc>
          <w:tcPr>
            <w:tcW w:w="1321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nvío del capítulo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1021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58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32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2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19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174" w:type="dxa"/>
          </w:tcPr>
          <w:p w:rsidR="00FC3CDF" w:rsidRPr="00287D09" w:rsidRDefault="00FC3CDF" w:rsidP="00FC3C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FC3CDF" w:rsidRPr="00FC3CDF" w:rsidTr="00CC463E">
        <w:trPr>
          <w:trHeight w:val="326"/>
        </w:trPr>
        <w:tc>
          <w:tcPr>
            <w:tcW w:w="13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2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nvío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de los 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capítulo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 a 4</w:t>
            </w:r>
          </w:p>
        </w:tc>
        <w:tc>
          <w:tcPr>
            <w:tcW w:w="1058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19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174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FC3CDF" w:rsidRPr="00287D09" w:rsidTr="00CC463E">
        <w:trPr>
          <w:trHeight w:val="307"/>
        </w:trPr>
        <w:tc>
          <w:tcPr>
            <w:tcW w:w="13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2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58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nvío del capítulo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5</w:t>
            </w:r>
          </w:p>
        </w:tc>
        <w:tc>
          <w:tcPr>
            <w:tcW w:w="10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19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174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FC3CDF" w:rsidRPr="00FC3CDF" w:rsidTr="00CC463E">
        <w:trPr>
          <w:trHeight w:val="326"/>
        </w:trPr>
        <w:tc>
          <w:tcPr>
            <w:tcW w:w="13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2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58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nvío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de los 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capítulo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 a 8</w:t>
            </w:r>
          </w:p>
        </w:tc>
        <w:tc>
          <w:tcPr>
            <w:tcW w:w="100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19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174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FC3CDF" w:rsidRPr="00FC3CDF" w:rsidTr="00CC463E">
        <w:trPr>
          <w:trHeight w:val="307"/>
        </w:trPr>
        <w:tc>
          <w:tcPr>
            <w:tcW w:w="13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2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58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nvío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de los 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capítulo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 a 10</w:t>
            </w:r>
          </w:p>
        </w:tc>
        <w:tc>
          <w:tcPr>
            <w:tcW w:w="1019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174" w:type="dxa"/>
          </w:tcPr>
          <w:p w:rsidR="00FC3CDF" w:rsidRPr="00287D09" w:rsidRDefault="00FC3CDF" w:rsidP="00FC3CDF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ab/>
            </w:r>
          </w:p>
        </w:tc>
      </w:tr>
      <w:tr w:rsidR="00FC3CDF" w:rsidRPr="00FC3CDF" w:rsidTr="00CC463E">
        <w:trPr>
          <w:trHeight w:val="307"/>
        </w:trPr>
        <w:tc>
          <w:tcPr>
            <w:tcW w:w="13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2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58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2" w:type="dxa"/>
          </w:tcPr>
          <w:p w:rsidR="00FC3CDF" w:rsidRDefault="00FC3CDF" w:rsidP="00FC3CD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019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nvío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de los 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capítulo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</w:t>
            </w: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11 a 18</w:t>
            </w:r>
          </w:p>
        </w:tc>
        <w:tc>
          <w:tcPr>
            <w:tcW w:w="1174" w:type="dxa"/>
          </w:tcPr>
          <w:p w:rsidR="00FC3CDF" w:rsidRDefault="00FC3CDF" w:rsidP="00FC3CDF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FC3CDF" w:rsidRPr="00287D09" w:rsidTr="00CC463E">
        <w:trPr>
          <w:trHeight w:val="326"/>
        </w:trPr>
        <w:tc>
          <w:tcPr>
            <w:tcW w:w="13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2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21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58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3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2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19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174" w:type="dxa"/>
          </w:tcPr>
          <w:p w:rsidR="00FC3CDF" w:rsidRPr="00287D09" w:rsidRDefault="00FC3CDF" w:rsidP="00FC3CD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287D0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Entrega de la Tesina </w:t>
            </w:r>
          </w:p>
        </w:tc>
      </w:tr>
    </w:tbl>
    <w:p w:rsidR="00721D73" w:rsidRPr="000E09EE" w:rsidRDefault="00721D73" w:rsidP="008C1236">
      <w:pPr>
        <w:rPr>
          <w:b/>
          <w:lang w:val="es-ES"/>
        </w:rPr>
      </w:pPr>
    </w:p>
    <w:sectPr w:rsidR="00721D73" w:rsidRPr="000E09EE" w:rsidSect="008F1255">
      <w:headerReference w:type="default" r:id="rId3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E95" w:rsidRDefault="006E2E95" w:rsidP="004A5775">
      <w:pPr>
        <w:spacing w:after="0" w:line="240" w:lineRule="auto"/>
      </w:pPr>
      <w:r>
        <w:separator/>
      </w:r>
    </w:p>
  </w:endnote>
  <w:endnote w:type="continuationSeparator" w:id="0">
    <w:p w:rsidR="006E2E95" w:rsidRDefault="006E2E95" w:rsidP="004A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E95" w:rsidRDefault="006E2E95" w:rsidP="004A5775">
      <w:pPr>
        <w:spacing w:after="0" w:line="240" w:lineRule="auto"/>
      </w:pPr>
      <w:r>
        <w:separator/>
      </w:r>
    </w:p>
  </w:footnote>
  <w:footnote w:type="continuationSeparator" w:id="0">
    <w:p w:rsidR="006E2E95" w:rsidRDefault="006E2E95" w:rsidP="004A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E1" w:rsidRPr="00CC463E" w:rsidRDefault="006368E1" w:rsidP="00DF5B3E">
    <w:pPr>
      <w:jc w:val="center"/>
      <w:rPr>
        <w:rFonts w:ascii="Times New Roman" w:hAnsi="Times New Roman" w:cs="Times New Roman"/>
        <w:b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2105F"/>
    <w:multiLevelType w:val="hybridMultilevel"/>
    <w:tmpl w:val="9F2A9156"/>
    <w:lvl w:ilvl="0" w:tplc="5BEAB3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B2714"/>
    <w:multiLevelType w:val="hybridMultilevel"/>
    <w:tmpl w:val="AFC497BE"/>
    <w:lvl w:ilvl="0" w:tplc="C60AE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57"/>
    <w:rsid w:val="000019E6"/>
    <w:rsid w:val="00005522"/>
    <w:rsid w:val="000519E8"/>
    <w:rsid w:val="00092178"/>
    <w:rsid w:val="000C7482"/>
    <w:rsid w:val="000E09EE"/>
    <w:rsid w:val="00124905"/>
    <w:rsid w:val="00130A84"/>
    <w:rsid w:val="00137570"/>
    <w:rsid w:val="0019667C"/>
    <w:rsid w:val="001B1C79"/>
    <w:rsid w:val="001D0B4A"/>
    <w:rsid w:val="001E7A15"/>
    <w:rsid w:val="0020145C"/>
    <w:rsid w:val="00231F01"/>
    <w:rsid w:val="00232B86"/>
    <w:rsid w:val="00234CFD"/>
    <w:rsid w:val="00287D09"/>
    <w:rsid w:val="00296C45"/>
    <w:rsid w:val="002A00FD"/>
    <w:rsid w:val="002D6DA8"/>
    <w:rsid w:val="00304C64"/>
    <w:rsid w:val="00310E9D"/>
    <w:rsid w:val="0031262B"/>
    <w:rsid w:val="00315669"/>
    <w:rsid w:val="00322C26"/>
    <w:rsid w:val="00331A3B"/>
    <w:rsid w:val="00350FE2"/>
    <w:rsid w:val="0036630C"/>
    <w:rsid w:val="003938C6"/>
    <w:rsid w:val="003C28FE"/>
    <w:rsid w:val="003C5917"/>
    <w:rsid w:val="003F717E"/>
    <w:rsid w:val="004172D5"/>
    <w:rsid w:val="004214F9"/>
    <w:rsid w:val="00435D03"/>
    <w:rsid w:val="00452DA3"/>
    <w:rsid w:val="00462A0F"/>
    <w:rsid w:val="00490208"/>
    <w:rsid w:val="004911DB"/>
    <w:rsid w:val="004A5775"/>
    <w:rsid w:val="004A5F57"/>
    <w:rsid w:val="004B0E00"/>
    <w:rsid w:val="004C5F83"/>
    <w:rsid w:val="004C7105"/>
    <w:rsid w:val="005076F4"/>
    <w:rsid w:val="0051761B"/>
    <w:rsid w:val="0052144E"/>
    <w:rsid w:val="005246A6"/>
    <w:rsid w:val="00543517"/>
    <w:rsid w:val="005A4415"/>
    <w:rsid w:val="005A623A"/>
    <w:rsid w:val="005B2F63"/>
    <w:rsid w:val="005B7B51"/>
    <w:rsid w:val="006174F2"/>
    <w:rsid w:val="0062709C"/>
    <w:rsid w:val="006368E1"/>
    <w:rsid w:val="00664F4C"/>
    <w:rsid w:val="006969B3"/>
    <w:rsid w:val="006E1EBF"/>
    <w:rsid w:val="006E2E95"/>
    <w:rsid w:val="006F72D8"/>
    <w:rsid w:val="00721D73"/>
    <w:rsid w:val="007417E4"/>
    <w:rsid w:val="00777A8E"/>
    <w:rsid w:val="00790047"/>
    <w:rsid w:val="007D2509"/>
    <w:rsid w:val="007E2406"/>
    <w:rsid w:val="00804A6D"/>
    <w:rsid w:val="00857782"/>
    <w:rsid w:val="00871B3B"/>
    <w:rsid w:val="008752D4"/>
    <w:rsid w:val="008C1236"/>
    <w:rsid w:val="008E3716"/>
    <w:rsid w:val="008E53A6"/>
    <w:rsid w:val="008F1255"/>
    <w:rsid w:val="0091582C"/>
    <w:rsid w:val="009370C5"/>
    <w:rsid w:val="00996C36"/>
    <w:rsid w:val="009A209A"/>
    <w:rsid w:val="009A5399"/>
    <w:rsid w:val="009A7EDE"/>
    <w:rsid w:val="009C234D"/>
    <w:rsid w:val="009C6D12"/>
    <w:rsid w:val="009F3E5D"/>
    <w:rsid w:val="00A23534"/>
    <w:rsid w:val="00A40893"/>
    <w:rsid w:val="00A63861"/>
    <w:rsid w:val="00AB4B5B"/>
    <w:rsid w:val="00AC033E"/>
    <w:rsid w:val="00B15531"/>
    <w:rsid w:val="00B73E58"/>
    <w:rsid w:val="00B95647"/>
    <w:rsid w:val="00BB18CE"/>
    <w:rsid w:val="00BD1EB5"/>
    <w:rsid w:val="00BE183B"/>
    <w:rsid w:val="00BE18B7"/>
    <w:rsid w:val="00C044A4"/>
    <w:rsid w:val="00C31546"/>
    <w:rsid w:val="00C53200"/>
    <w:rsid w:val="00CB17B1"/>
    <w:rsid w:val="00CC463E"/>
    <w:rsid w:val="00CD29AF"/>
    <w:rsid w:val="00D070F6"/>
    <w:rsid w:val="00D104AD"/>
    <w:rsid w:val="00D77E71"/>
    <w:rsid w:val="00DD141E"/>
    <w:rsid w:val="00DD4565"/>
    <w:rsid w:val="00DF5B3E"/>
    <w:rsid w:val="00E11367"/>
    <w:rsid w:val="00E17DC7"/>
    <w:rsid w:val="00E31EEF"/>
    <w:rsid w:val="00E54495"/>
    <w:rsid w:val="00E6429D"/>
    <w:rsid w:val="00E83200"/>
    <w:rsid w:val="00E93C62"/>
    <w:rsid w:val="00E95C4C"/>
    <w:rsid w:val="00EA2125"/>
    <w:rsid w:val="00EE65AD"/>
    <w:rsid w:val="00F11563"/>
    <w:rsid w:val="00F82ABB"/>
    <w:rsid w:val="00FC1CC3"/>
    <w:rsid w:val="00FC3CD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22B93F-FBFD-43BB-825A-3C8A479C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75"/>
  </w:style>
  <w:style w:type="paragraph" w:styleId="Footer">
    <w:name w:val="footer"/>
    <w:basedOn w:val="Normal"/>
    <w:link w:val="FooterChar"/>
    <w:uiPriority w:val="99"/>
    <w:unhideWhenUsed/>
    <w:rsid w:val="004A5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75"/>
  </w:style>
  <w:style w:type="table" w:styleId="TableGrid">
    <w:name w:val="Table Grid"/>
    <w:basedOn w:val="TableNormal"/>
    <w:uiPriority w:val="39"/>
    <w:rsid w:val="00CB1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2AB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351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F7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64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848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D6DFE6"/>
              </w:divBdr>
              <w:divsChild>
                <w:div w:id="20724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stainabledevelopment.un.org/rio20/futurewewant" TargetMode="External"/><Relationship Id="rId18" Type="http://schemas.openxmlformats.org/officeDocument/2006/relationships/hyperlink" Target="https://corpgov.law.harvard.edu/tag/esg/" TargetMode="External"/><Relationship Id="rId26" Type="http://schemas.openxmlformats.org/officeDocument/2006/relationships/hyperlink" Target="https://www.spglobal.com/_Assets/documents/Ratings/RatingsDirect_EnvironmentalSocialAndGovernanceEvaluationAnalyticalApproach_1176513_Apr-10-2019.pdf" TargetMode="External"/><Relationship Id="rId21" Type="http://schemas.openxmlformats.org/officeDocument/2006/relationships/hyperlink" Target="https://www.spglobal.com/platts/en" TargetMode="External"/><Relationship Id="rId34" Type="http://schemas.openxmlformats.org/officeDocument/2006/relationships/hyperlink" Target="https://sray.arabesqu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.org/ga/search/view_doc.asp?symbol=A/RES/66/288&amp;Lang=S" TargetMode="External"/><Relationship Id="rId17" Type="http://schemas.openxmlformats.org/officeDocument/2006/relationships/hyperlink" Target="https://www.oecd-ilibrary.org/" TargetMode="External"/><Relationship Id="rId25" Type="http://schemas.openxmlformats.org/officeDocument/2006/relationships/hyperlink" Target="https://www.spglobal.com/_media/documents/the-sp-500-esg-index-integrating-esg-values-into-the-core.pdf" TargetMode="External"/><Relationship Id="rId33" Type="http://schemas.openxmlformats.org/officeDocument/2006/relationships/hyperlink" Target="https://materiality.sasb.org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nodc.org/documents/treaties/UNCAC/Publications/Convention/04-56163_S.pdf" TargetMode="External"/><Relationship Id="rId20" Type="http://schemas.openxmlformats.org/officeDocument/2006/relationships/hyperlink" Target="https://www.msci.com/research/esg-research" TargetMode="External"/><Relationship Id="rId29" Type="http://schemas.openxmlformats.org/officeDocument/2006/relationships/hyperlink" Target="https://openknowledge.worldbank.org/bitstream/handle/10986/32245/9781464814594.pdf?sequence=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globalcompact.org/what-is-gc/mission/principles" TargetMode="External"/><Relationship Id="rId24" Type="http://schemas.openxmlformats.org/officeDocument/2006/relationships/hyperlink" Target="https://www.cdp.net/en/research/global-reports/global-climate-change-report-2018" TargetMode="External"/><Relationship Id="rId32" Type="http://schemas.openxmlformats.org/officeDocument/2006/relationships/hyperlink" Target="https://us.spindices.com/indices/equity/sp-500-esg-index-usd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lo.org/declaration/thedeclaration/textdeclaration/lang--es/index.htm" TargetMode="External"/><Relationship Id="rId23" Type="http://schemas.openxmlformats.org/officeDocument/2006/relationships/hyperlink" Target="https://cglytics.com/thought-leadership/industry-reports/" TargetMode="External"/><Relationship Id="rId28" Type="http://schemas.openxmlformats.org/officeDocument/2006/relationships/hyperlink" Target="https://www.dbresearch.com/PROD/RPS_EN-PROD/PROD0000000000500285.pdf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un.org/sustainabledevelopment/es/" TargetMode="External"/><Relationship Id="rId19" Type="http://schemas.openxmlformats.org/officeDocument/2006/relationships/hyperlink" Target="https://www.msci.com/esg-ratings" TargetMode="External"/><Relationship Id="rId31" Type="http://schemas.openxmlformats.org/officeDocument/2006/relationships/hyperlink" Target="https://www.bp.com/en/global/corporate/energy-economics/energy-outlo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es/universal-declaration-human-rights/index.html" TargetMode="External"/><Relationship Id="rId14" Type="http://schemas.openxmlformats.org/officeDocument/2006/relationships/hyperlink" Target="http://portal.uned.es/pls/portal/docs/PAGE/UNED_MAIN/LAUNIVERSIDAD/DEPARTAMENTOS/0614/ASIGNAT/MEDIOAMBIENTE/TEMA%201/%20%20%20%20%20DECLARACI%C3%93N%20DE%20R%C3%8DO%201992.PDF" TargetMode="External"/><Relationship Id="rId22" Type="http://schemas.openxmlformats.org/officeDocument/2006/relationships/hyperlink" Target="https://marketing.sustainalytics.com/acton/attachment/5105/f-84b2d516-c650-4abf-8f7c-536007c009c7/1/-/-/-/-/SustainalyticsESGRiskRatings_WhitePaperVolumeThree.pdf?sid=TV2:5GHd78BAO" TargetMode="External"/><Relationship Id="rId27" Type="http://schemas.openxmlformats.org/officeDocument/2006/relationships/hyperlink" Target="https://www.climatebonds.net/" TargetMode="External"/><Relationship Id="rId30" Type="http://schemas.openxmlformats.org/officeDocument/2006/relationships/hyperlink" Target="https://www.bbva.com/wp-content/uploads/2019/07/Green-Bonds-Getting-the-harmony-right.pdf" TargetMode="External"/><Relationship Id="rId35" Type="http://schemas.openxmlformats.org/officeDocument/2006/relationships/hyperlink" Target="https://www.statista.com/" TargetMode="External"/><Relationship Id="rId8" Type="http://schemas.openxmlformats.org/officeDocument/2006/relationships/image" Target="media/image1.gi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C0F3-38B0-4CF9-AEB7-47FDC176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6688</TotalTime>
  <Pages>12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News Corp</Company>
  <LinksUpToDate>false</LinksUpToDate>
  <CharactersWithSpaces>18019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Lousada, Gonçalo</dc:creator>
  <cp:keywords/>
  <dc:description/>
  <cp:lastModifiedBy>Lousada, Gonçalo</cp:lastModifiedBy>
  <cp:revision>44</cp:revision>
  <dcterms:created xsi:type="dcterms:W3CDTF">2019-09-20T09:40:00Z</dcterms:created>
  <dcterms:modified xsi:type="dcterms:W3CDTF">2019-12-10T21:59:00Z</dcterms:modified>
</cp:coreProperties>
</file>